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ColorfulGrid-Accent1"/>
        <w:tblpPr w:leftFromText="180" w:rightFromText="180" w:vertAnchor="text" w:horzAnchor="margin" w:tblpXSpec="center" w:tblpY="1156"/>
        <w:tblW w:w="0" w:type="auto"/>
        <w:tblLook w:val="0480" w:firstRow="0" w:lastRow="0" w:firstColumn="1" w:lastColumn="0" w:noHBand="0" w:noVBand="1"/>
        <w:tblCaption w:val="Course Code and Credit Table"/>
      </w:tblPr>
      <w:tblGrid>
        <w:gridCol w:w="2769"/>
        <w:gridCol w:w="6591"/>
      </w:tblGrid>
      <w:tr w:rsidR="004D4C83" w:rsidRPr="003E6EB2" w14:paraId="39863B72" w14:textId="77777777" w:rsidTr="002D52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9" w:type="dxa"/>
            <w:vAlign w:val="center"/>
          </w:tcPr>
          <w:p w14:paraId="68052166" w14:textId="77777777" w:rsidR="004D4C83" w:rsidRPr="00096EEC" w:rsidRDefault="004D4C83" w:rsidP="004D4C83">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Course Code(s):</w:t>
            </w:r>
          </w:p>
        </w:tc>
        <w:tc>
          <w:tcPr>
            <w:tcW w:w="6591" w:type="dxa"/>
            <w:vAlign w:val="center"/>
          </w:tcPr>
          <w:p w14:paraId="27DF3879" w14:textId="648EA7C3" w:rsidR="004D4C83" w:rsidRPr="00096EEC" w:rsidRDefault="00EC5539" w:rsidP="004D4C83">
            <w:pPr>
              <w:pStyle w:val="Heading3"/>
              <w:spacing w:before="0"/>
              <w:outlineLvl w:val="2"/>
              <w:cnfStyle w:val="000000100000" w:firstRow="0" w:lastRow="0" w:firstColumn="0" w:lastColumn="0" w:oddVBand="0" w:evenVBand="0" w:oddHBand="1" w:evenHBand="0" w:firstRowFirstColumn="0" w:firstRowLastColumn="0" w:lastRowFirstColumn="0" w:lastRowLastColumn="0"/>
              <w:rPr>
                <w:rFonts w:ascii="Open Sans" w:hAnsi="Open Sans" w:cs="Open Sans"/>
                <w:b w:val="0"/>
                <w:color w:val="auto"/>
                <w:sz w:val="20"/>
                <w:szCs w:val="20"/>
              </w:rPr>
            </w:pPr>
            <w:r>
              <w:rPr>
                <w:rFonts w:ascii="Open Sans" w:hAnsi="Open Sans" w:cs="Open Sans"/>
                <w:b w:val="0"/>
                <w:color w:val="auto"/>
                <w:sz w:val="20"/>
                <w:szCs w:val="20"/>
              </w:rPr>
              <w:t>53417</w:t>
            </w:r>
          </w:p>
        </w:tc>
      </w:tr>
      <w:tr w:rsidR="004D4C83" w:rsidRPr="003E6EB2" w14:paraId="45AB04F8" w14:textId="77777777" w:rsidTr="002D523C">
        <w:tc>
          <w:tcPr>
            <w:cnfStyle w:val="001000000000" w:firstRow="0" w:lastRow="0" w:firstColumn="1" w:lastColumn="0" w:oddVBand="0" w:evenVBand="0" w:oddHBand="0" w:evenHBand="0" w:firstRowFirstColumn="0" w:firstRowLastColumn="0" w:lastRowFirstColumn="0" w:lastRowLastColumn="0"/>
            <w:tcW w:w="2769" w:type="dxa"/>
            <w:vAlign w:val="center"/>
          </w:tcPr>
          <w:p w14:paraId="38046152" w14:textId="77777777" w:rsidR="004D4C83" w:rsidRPr="00096EEC" w:rsidRDefault="004D4C83" w:rsidP="004D4C83">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Credit:</w:t>
            </w:r>
          </w:p>
        </w:tc>
        <w:tc>
          <w:tcPr>
            <w:tcW w:w="6591" w:type="dxa"/>
            <w:vAlign w:val="center"/>
          </w:tcPr>
          <w:p w14:paraId="1B166846" w14:textId="4879F8AD" w:rsidR="004D4C83" w:rsidRPr="00096EEC" w:rsidRDefault="002F5ADB" w:rsidP="004D4C83">
            <w:pPr>
              <w:pStyle w:val="Heading3"/>
              <w:spacing w:before="0"/>
              <w:outlineLvl w:val="2"/>
              <w:cnfStyle w:val="000000000000" w:firstRow="0" w:lastRow="0" w:firstColumn="0" w:lastColumn="0" w:oddVBand="0" w:evenVBand="0" w:oddHBand="0" w:evenHBand="0" w:firstRowFirstColumn="0" w:firstRowLastColumn="0" w:lastRowFirstColumn="0" w:lastRowLastColumn="0"/>
              <w:rPr>
                <w:rFonts w:ascii="Open Sans" w:hAnsi="Open Sans" w:cs="Open Sans"/>
                <w:b w:val="0"/>
                <w:color w:val="auto"/>
                <w:sz w:val="20"/>
                <w:szCs w:val="20"/>
              </w:rPr>
            </w:pPr>
            <w:r>
              <w:rPr>
                <w:rFonts w:ascii="Open Sans" w:hAnsi="Open Sans" w:cs="Open Sans"/>
                <w:b w:val="0"/>
                <w:color w:val="auto"/>
                <w:sz w:val="20"/>
                <w:szCs w:val="20"/>
              </w:rPr>
              <w:t>0.5</w:t>
            </w:r>
          </w:p>
        </w:tc>
      </w:tr>
    </w:tbl>
    <w:p w14:paraId="2C90E241" w14:textId="77777777" w:rsidR="009F78DE" w:rsidRDefault="009F78DE" w:rsidP="009F78DE">
      <w:pPr>
        <w:pStyle w:val="Title"/>
        <w:jc w:val="center"/>
        <w:rPr>
          <w:rFonts w:ascii="Open Sans" w:hAnsi="Open Sans" w:cs="Open Sans"/>
          <w:sz w:val="20"/>
          <w:szCs w:val="20"/>
        </w:rPr>
      </w:pPr>
      <w:r>
        <w:rPr>
          <w:rFonts w:ascii="PermianSlabSerifTypeface" w:hAnsi="PermianSlabSerifTypeface"/>
          <w:sz w:val="44"/>
          <w:szCs w:val="44"/>
        </w:rPr>
        <w:t>AAD—</w:t>
      </w:r>
      <w:r>
        <w:rPr>
          <w:rFonts w:ascii="Open Sans" w:eastAsiaTheme="minorHAnsi" w:hAnsi="Open Sans" w:cstheme="minorBidi"/>
          <w:color w:val="auto"/>
          <w:spacing w:val="0"/>
          <w:kern w:val="0"/>
          <w:sz w:val="44"/>
          <w:szCs w:val="44"/>
        </w:rPr>
        <w:t xml:space="preserve"> </w:t>
      </w:r>
      <w:r>
        <w:rPr>
          <w:rFonts w:ascii="PermianSlabSerifTypeface" w:hAnsi="PermianSlabSerifTypeface"/>
          <w:sz w:val="44"/>
          <w:szCs w:val="44"/>
        </w:rPr>
        <w:t>United States Government and Civics</w:t>
      </w:r>
    </w:p>
    <w:p w14:paraId="34F60517" w14:textId="77777777" w:rsidR="0024136C" w:rsidRDefault="0024136C" w:rsidP="0024136C">
      <w:pPr>
        <w:pStyle w:val="NoSpacing"/>
      </w:pPr>
    </w:p>
    <w:p w14:paraId="5788E940" w14:textId="4204F1A8" w:rsidR="005B7377" w:rsidRPr="004C58C6" w:rsidRDefault="005B7377" w:rsidP="005B7377">
      <w:pPr>
        <w:spacing w:after="0" w:line="240" w:lineRule="auto"/>
        <w:rPr>
          <w:rFonts w:ascii="Open Sans" w:hAnsi="Open Sans" w:cs="Open Sans"/>
          <w:b/>
          <w:sz w:val="20"/>
          <w:szCs w:val="20"/>
          <w:u w:val="single"/>
        </w:rPr>
      </w:pPr>
      <w:r w:rsidRPr="007E18CA">
        <w:rPr>
          <w:rFonts w:ascii="Open Sans" w:hAnsi="Open Sans" w:cs="Open Sans"/>
          <w:b/>
          <w:sz w:val="20"/>
          <w:szCs w:val="20"/>
          <w:u w:val="single"/>
        </w:rPr>
        <w:t xml:space="preserve">The course </w:t>
      </w:r>
      <w:r w:rsidR="00EC5539">
        <w:rPr>
          <w:rFonts w:ascii="Open Sans" w:hAnsi="Open Sans" w:cs="Open Sans"/>
          <w:b/>
          <w:sz w:val="20"/>
          <w:szCs w:val="20"/>
          <w:u w:val="single"/>
        </w:rPr>
        <w:t>requirements</w:t>
      </w:r>
      <w:r w:rsidRPr="007E18CA">
        <w:rPr>
          <w:rFonts w:ascii="Open Sans" w:hAnsi="Open Sans" w:cs="Open Sans"/>
          <w:b/>
          <w:sz w:val="20"/>
          <w:szCs w:val="20"/>
          <w:u w:val="single"/>
        </w:rPr>
        <w:t>, based on the Tennessee state</w:t>
      </w:r>
      <w:r>
        <w:rPr>
          <w:rFonts w:ascii="Open Sans" w:hAnsi="Open Sans" w:cs="Open Sans"/>
          <w:b/>
          <w:sz w:val="20"/>
          <w:szCs w:val="20"/>
          <w:u w:val="single"/>
        </w:rPr>
        <w:t xml:space="preserve"> standards</w:t>
      </w:r>
      <w:r w:rsidRPr="007E18CA">
        <w:rPr>
          <w:rFonts w:ascii="Open Sans" w:hAnsi="Open Sans" w:cs="Open Sans"/>
          <w:b/>
          <w:sz w:val="20"/>
          <w:szCs w:val="20"/>
          <w:u w:val="single"/>
        </w:rPr>
        <w:t xml:space="preserve">, </w:t>
      </w:r>
      <w:r>
        <w:rPr>
          <w:rFonts w:ascii="Open Sans" w:hAnsi="Open Sans" w:cs="Open Sans"/>
          <w:b/>
          <w:sz w:val="20"/>
          <w:szCs w:val="20"/>
          <w:u w:val="single"/>
        </w:rPr>
        <w:t xml:space="preserve">outline the </w:t>
      </w:r>
      <w:r w:rsidRPr="007E18CA">
        <w:rPr>
          <w:rFonts w:ascii="Open Sans" w:hAnsi="Open Sans" w:cs="Open Sans"/>
          <w:b/>
          <w:sz w:val="20"/>
          <w:szCs w:val="20"/>
          <w:u w:val="single"/>
        </w:rPr>
        <w:t>expectations for a student working towards the alternate academic diploma.</w:t>
      </w:r>
    </w:p>
    <w:p w14:paraId="2E67F4B3" w14:textId="77777777" w:rsidR="004C58C6" w:rsidRDefault="004C58C6" w:rsidP="0024136C">
      <w:pPr>
        <w:spacing w:after="0" w:line="240" w:lineRule="auto"/>
        <w:rPr>
          <w:rFonts w:ascii="Open Sans" w:hAnsi="Open Sans" w:cs="Open Sans"/>
          <w:sz w:val="20"/>
          <w:szCs w:val="20"/>
        </w:rPr>
      </w:pPr>
    </w:p>
    <w:p w14:paraId="4E8468EE" w14:textId="77777777" w:rsidR="00505CFE" w:rsidRPr="00096EEC" w:rsidRDefault="007F478D" w:rsidP="001936DE">
      <w:pPr>
        <w:pStyle w:val="Heading1"/>
        <w:spacing w:before="0" w:line="240" w:lineRule="auto"/>
        <w:rPr>
          <w:rFonts w:ascii="Open Sans" w:hAnsi="Open Sans" w:cs="Open Sans"/>
          <w:sz w:val="24"/>
          <w:szCs w:val="24"/>
        </w:rPr>
      </w:pPr>
      <w:r w:rsidRPr="00096EEC">
        <w:rPr>
          <w:rFonts w:ascii="Open Sans" w:hAnsi="Open Sans" w:cs="Open Sans"/>
          <w:sz w:val="24"/>
          <w:szCs w:val="24"/>
        </w:rPr>
        <w:t xml:space="preserve">Course </w:t>
      </w:r>
      <w:r w:rsidR="007D5831">
        <w:rPr>
          <w:rFonts w:ascii="Open Sans" w:hAnsi="Open Sans" w:cs="Open Sans"/>
          <w:sz w:val="24"/>
          <w:szCs w:val="24"/>
        </w:rPr>
        <w:t>Requirements</w:t>
      </w:r>
    </w:p>
    <w:p w14:paraId="48BA43AF" w14:textId="77777777" w:rsidR="007D5663" w:rsidRDefault="007D5663" w:rsidP="001420A4">
      <w:pPr>
        <w:tabs>
          <w:tab w:val="left" w:pos="1080"/>
          <w:tab w:val="left" w:pos="1440"/>
          <w:tab w:val="left" w:pos="1620"/>
        </w:tabs>
        <w:spacing w:after="0" w:line="240" w:lineRule="auto"/>
        <w:contextualSpacing/>
        <w:rPr>
          <w:rFonts w:ascii="Open Sans" w:hAnsi="Open Sans" w:cs="Open Sans"/>
          <w:b/>
          <w:sz w:val="20"/>
          <w:szCs w:val="20"/>
        </w:rPr>
      </w:pPr>
    </w:p>
    <w:p w14:paraId="046DA021" w14:textId="409F5737" w:rsidR="009F78DE" w:rsidRPr="009F78DE" w:rsidRDefault="009F78DE" w:rsidP="009F78DE">
      <w:pPr>
        <w:tabs>
          <w:tab w:val="left" w:pos="1080"/>
          <w:tab w:val="left" w:pos="1440"/>
          <w:tab w:val="left" w:pos="1620"/>
        </w:tabs>
        <w:spacing w:after="0" w:line="240" w:lineRule="auto"/>
        <w:contextualSpacing/>
        <w:rPr>
          <w:rFonts w:ascii="Open Sans" w:hAnsi="Open Sans" w:cs="Open Sans"/>
          <w:i/>
          <w:sz w:val="20"/>
          <w:szCs w:val="20"/>
        </w:rPr>
      </w:pPr>
      <w:r w:rsidRPr="009F78DE">
        <w:rPr>
          <w:rFonts w:ascii="Open Sans" w:hAnsi="Open Sans" w:cs="Open Sans"/>
          <w:i/>
          <w:sz w:val="20"/>
          <w:szCs w:val="20"/>
        </w:rPr>
        <w:t>As citizens, it is critical that individuals recognize their civic opportunities. Focusing the coursework on connecting the principles of US government to the impact and benefit of these principles on the individual will develop and support civic participation. Students assessed on the alternate assessment are often participants within at l</w:t>
      </w:r>
      <w:r w:rsidR="00DE21B4">
        <w:rPr>
          <w:rFonts w:ascii="Open Sans" w:hAnsi="Open Sans" w:cs="Open Sans"/>
          <w:i/>
          <w:sz w:val="20"/>
          <w:szCs w:val="20"/>
        </w:rPr>
        <w:t>east one state agencies service or program</w:t>
      </w:r>
      <w:r w:rsidRPr="009F78DE">
        <w:rPr>
          <w:rFonts w:ascii="Open Sans" w:hAnsi="Open Sans" w:cs="Open Sans"/>
          <w:i/>
          <w:sz w:val="20"/>
          <w:szCs w:val="20"/>
        </w:rPr>
        <w:t xml:space="preserve"> </w:t>
      </w:r>
      <w:r w:rsidR="00DE21B4">
        <w:rPr>
          <w:rFonts w:ascii="Open Sans" w:hAnsi="Open Sans" w:cs="Open Sans"/>
          <w:i/>
          <w:sz w:val="20"/>
          <w:szCs w:val="20"/>
        </w:rPr>
        <w:t>as</w:t>
      </w:r>
      <w:r w:rsidRPr="009F78DE">
        <w:rPr>
          <w:rFonts w:ascii="Open Sans" w:hAnsi="Open Sans" w:cs="Open Sans"/>
          <w:i/>
          <w:sz w:val="20"/>
          <w:szCs w:val="20"/>
        </w:rPr>
        <w:t xml:space="preserve"> adult</w:t>
      </w:r>
      <w:r w:rsidR="00DE21B4">
        <w:rPr>
          <w:rFonts w:ascii="Open Sans" w:hAnsi="Open Sans" w:cs="Open Sans"/>
          <w:i/>
          <w:sz w:val="20"/>
          <w:szCs w:val="20"/>
        </w:rPr>
        <w:t>s.</w:t>
      </w:r>
      <w:r w:rsidRPr="009F78DE">
        <w:rPr>
          <w:rFonts w:ascii="Open Sans" w:hAnsi="Open Sans" w:cs="Open Sans"/>
          <w:i/>
          <w:sz w:val="20"/>
          <w:szCs w:val="20"/>
        </w:rPr>
        <w:t xml:space="preserve"> Providing focused and rigorous instruction on the actualizing of the US government within Tennessee state agencies and then, the services each of those agencies provides will ground the instruction in purpose for the students. Upon completion, students will have a clear plan for civic participation </w:t>
      </w:r>
      <w:r w:rsidR="00DE21B4">
        <w:rPr>
          <w:rFonts w:ascii="Open Sans" w:hAnsi="Open Sans" w:cs="Open Sans"/>
          <w:i/>
          <w:sz w:val="20"/>
          <w:szCs w:val="20"/>
        </w:rPr>
        <w:t>beyond</w:t>
      </w:r>
      <w:r w:rsidRPr="009F78DE">
        <w:rPr>
          <w:rFonts w:ascii="Open Sans" w:hAnsi="Open Sans" w:cs="Open Sans"/>
          <w:i/>
          <w:sz w:val="20"/>
          <w:szCs w:val="20"/>
        </w:rPr>
        <w:t xml:space="preserve"> graduation and will be prepared self-advocates. Resources for instruction may include </w:t>
      </w:r>
      <w:hyperlink r:id="rId8" w:history="1">
        <w:r w:rsidRPr="009F78DE">
          <w:rPr>
            <w:rStyle w:val="Hyperlink"/>
            <w:rFonts w:ascii="Open Sans" w:hAnsi="Open Sans" w:cs="Open Sans"/>
            <w:i/>
            <w:sz w:val="20"/>
            <w:szCs w:val="20"/>
          </w:rPr>
          <w:t>TransitionTN.org</w:t>
        </w:r>
      </w:hyperlink>
      <w:r w:rsidRPr="009F78DE">
        <w:rPr>
          <w:rFonts w:ascii="Open Sans" w:hAnsi="Open Sans" w:cs="Open Sans"/>
          <w:i/>
          <w:sz w:val="20"/>
          <w:szCs w:val="20"/>
        </w:rPr>
        <w:t xml:space="preserve"> and state advocacy groups such as Tennessee Works, Disability Rights Tennessee, and the Council for Developmental Disabilities.</w:t>
      </w:r>
    </w:p>
    <w:p w14:paraId="4F8BFEC1" w14:textId="77777777" w:rsidR="00CC5BE7" w:rsidRDefault="00CC5BE7" w:rsidP="001420A4">
      <w:pPr>
        <w:tabs>
          <w:tab w:val="left" w:pos="1080"/>
          <w:tab w:val="left" w:pos="1440"/>
          <w:tab w:val="left" w:pos="1620"/>
        </w:tabs>
        <w:spacing w:after="0" w:line="240" w:lineRule="auto"/>
        <w:contextualSpacing/>
        <w:rPr>
          <w:rFonts w:ascii="Open Sans" w:hAnsi="Open Sans" w:cs="Open Sans"/>
          <w:sz w:val="20"/>
          <w:szCs w:val="20"/>
        </w:rPr>
      </w:pPr>
    </w:p>
    <w:tbl>
      <w:tblPr>
        <w:tblStyle w:val="TableGrid10"/>
        <w:tblW w:w="9445" w:type="dxa"/>
        <w:tblInd w:w="0" w:type="dxa"/>
        <w:tblLook w:val="0620" w:firstRow="1" w:lastRow="0" w:firstColumn="0" w:lastColumn="0" w:noHBand="1" w:noVBand="1"/>
        <w:tblCaption w:val="Course Requirements Table"/>
      </w:tblPr>
      <w:tblGrid>
        <w:gridCol w:w="2160"/>
        <w:gridCol w:w="7285"/>
      </w:tblGrid>
      <w:tr w:rsidR="009F78DE" w:rsidRPr="009F78DE" w14:paraId="7088BF71"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8EAADB"/>
            <w:vAlign w:val="center"/>
            <w:hideMark/>
          </w:tcPr>
          <w:p w14:paraId="74BC229C" w14:textId="77777777" w:rsidR="009F78DE" w:rsidRPr="009F78DE" w:rsidRDefault="009F78DE" w:rsidP="009F78DE">
            <w:pPr>
              <w:spacing w:line="256" w:lineRule="auto"/>
              <w:rPr>
                <w:rFonts w:eastAsia="Times New Roman" w:cs="Open Sans"/>
                <w:sz w:val="22"/>
              </w:rPr>
            </w:pPr>
            <w:bookmarkStart w:id="0" w:name="_GoBack" w:colFirst="0" w:colLast="0"/>
            <w:r w:rsidRPr="009F78DE">
              <w:rPr>
                <w:rFonts w:eastAsia="Times New Roman" w:cs="Open Sans"/>
                <w:sz w:val="22"/>
              </w:rPr>
              <w:t>Foundations of Constitutional Government</w:t>
            </w:r>
          </w:p>
        </w:tc>
      </w:tr>
      <w:bookmarkEnd w:id="0"/>
      <w:tr w:rsidR="009F78DE" w:rsidRPr="009F78DE" w14:paraId="370DE228"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B4C6E7"/>
            <w:hideMark/>
          </w:tcPr>
          <w:p w14:paraId="49254D28" w14:textId="77777777" w:rsidR="009F78DE" w:rsidRPr="009F78DE" w:rsidRDefault="009F78DE" w:rsidP="009F78DE">
            <w:pPr>
              <w:spacing w:line="256" w:lineRule="auto"/>
              <w:rPr>
                <w:rFonts w:eastAsia="Times New Roman" w:cs="Open Sans"/>
                <w:sz w:val="22"/>
              </w:rPr>
            </w:pPr>
            <w:r w:rsidRPr="009F78DE">
              <w:rPr>
                <w:rFonts w:eastAsia="Times New Roman" w:cs="Open Sans"/>
                <w:b/>
                <w:sz w:val="22"/>
              </w:rPr>
              <w:t xml:space="preserve">Overview: </w:t>
            </w:r>
            <w:r w:rsidRPr="009F78DE">
              <w:rPr>
                <w:rFonts w:eastAsia="Times New Roman" w:cs="Open Sans"/>
                <w:sz w:val="22"/>
              </w:rPr>
              <w:t>Students will explain the fundamental principles of American government, as expressed in the Constitution and other essential documents of American federalism.</w:t>
            </w:r>
          </w:p>
        </w:tc>
      </w:tr>
      <w:tr w:rsidR="009F78DE" w:rsidRPr="009F78DE" w14:paraId="1D17B7E1"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2AA9DE37"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w:t>
            </w:r>
          </w:p>
        </w:tc>
        <w:tc>
          <w:tcPr>
            <w:tcW w:w="7285" w:type="dxa"/>
            <w:tcBorders>
              <w:top w:val="single" w:sz="4" w:space="0" w:color="auto"/>
              <w:left w:val="single" w:sz="4" w:space="0" w:color="auto"/>
              <w:bottom w:val="single" w:sz="4" w:space="0" w:color="auto"/>
              <w:right w:val="single" w:sz="4" w:space="0" w:color="auto"/>
            </w:tcBorders>
            <w:hideMark/>
          </w:tcPr>
          <w:p w14:paraId="51BEBAF9"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Examine and discuss the Declaration of Independence.</w:t>
            </w:r>
          </w:p>
        </w:tc>
      </w:tr>
      <w:tr w:rsidR="009F78DE" w:rsidRPr="009F78DE" w14:paraId="72CCCD1E"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31F5E8EA"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w:t>
            </w:r>
          </w:p>
        </w:tc>
        <w:tc>
          <w:tcPr>
            <w:tcW w:w="7285" w:type="dxa"/>
            <w:tcBorders>
              <w:top w:val="single" w:sz="4" w:space="0" w:color="auto"/>
              <w:left w:val="single" w:sz="4" w:space="0" w:color="auto"/>
              <w:bottom w:val="single" w:sz="4" w:space="0" w:color="auto"/>
              <w:right w:val="single" w:sz="4" w:space="0" w:color="auto"/>
            </w:tcBorders>
            <w:hideMark/>
          </w:tcPr>
          <w:p w14:paraId="41F518FF"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Examine and describe the purpose and function of the US government outlined in the Preamble of the Constitution.</w:t>
            </w:r>
          </w:p>
        </w:tc>
      </w:tr>
      <w:tr w:rsidR="009F78DE" w:rsidRPr="009F78DE" w14:paraId="51D5E28E"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35E5F9FA"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AAD.GC.3</w:t>
            </w:r>
          </w:p>
        </w:tc>
        <w:tc>
          <w:tcPr>
            <w:tcW w:w="7285" w:type="dxa"/>
            <w:tcBorders>
              <w:top w:val="single" w:sz="4" w:space="0" w:color="auto"/>
              <w:left w:val="single" w:sz="4" w:space="0" w:color="auto"/>
              <w:bottom w:val="single" w:sz="4" w:space="0" w:color="auto"/>
              <w:right w:val="single" w:sz="4" w:space="0" w:color="auto"/>
            </w:tcBorders>
            <w:hideMark/>
          </w:tcPr>
          <w:p w14:paraId="52B3ABE2"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Examine and discuss the Constitution.</w:t>
            </w:r>
          </w:p>
        </w:tc>
      </w:tr>
      <w:tr w:rsidR="009F78DE" w:rsidRPr="009F78DE" w14:paraId="731E45BC"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1561392E"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AAD.GC.4</w:t>
            </w:r>
          </w:p>
        </w:tc>
        <w:tc>
          <w:tcPr>
            <w:tcW w:w="7285" w:type="dxa"/>
            <w:tcBorders>
              <w:top w:val="single" w:sz="4" w:space="0" w:color="auto"/>
              <w:left w:val="single" w:sz="4" w:space="0" w:color="auto"/>
              <w:bottom w:val="single" w:sz="4" w:space="0" w:color="auto"/>
              <w:right w:val="single" w:sz="4" w:space="0" w:color="auto"/>
            </w:tcBorders>
            <w:hideMark/>
          </w:tcPr>
          <w:p w14:paraId="4DDB5A26"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Examine the rights of individuals outlined in the Bill of Rights.</w:t>
            </w:r>
          </w:p>
        </w:tc>
      </w:tr>
      <w:tr w:rsidR="009F78DE" w:rsidRPr="009F78DE" w14:paraId="2523ED8A"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6B6626A5"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AAD.GC.5</w:t>
            </w:r>
          </w:p>
        </w:tc>
        <w:tc>
          <w:tcPr>
            <w:tcW w:w="7285" w:type="dxa"/>
            <w:tcBorders>
              <w:top w:val="single" w:sz="4" w:space="0" w:color="auto"/>
              <w:left w:val="single" w:sz="4" w:space="0" w:color="auto"/>
              <w:bottom w:val="single" w:sz="4" w:space="0" w:color="auto"/>
              <w:right w:val="single" w:sz="4" w:space="0" w:color="auto"/>
            </w:tcBorders>
            <w:hideMark/>
          </w:tcPr>
          <w:p w14:paraId="48E570C4"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Discuss the concept of democracy.</w:t>
            </w:r>
          </w:p>
        </w:tc>
      </w:tr>
      <w:tr w:rsidR="009F78DE" w:rsidRPr="009F78DE" w14:paraId="70C976F3"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8EAADB"/>
            <w:vAlign w:val="center"/>
            <w:hideMark/>
          </w:tcPr>
          <w:p w14:paraId="6E5C94E8"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The Legislative Branch</w:t>
            </w:r>
          </w:p>
        </w:tc>
      </w:tr>
      <w:tr w:rsidR="009F78DE" w:rsidRPr="009F78DE" w14:paraId="21FE57C4"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B4C6E7"/>
            <w:hideMark/>
          </w:tcPr>
          <w:p w14:paraId="7BE52D0D" w14:textId="77777777" w:rsidR="009F78DE" w:rsidRPr="009F78DE" w:rsidRDefault="009F78DE" w:rsidP="009F78DE">
            <w:pPr>
              <w:spacing w:line="256" w:lineRule="auto"/>
              <w:rPr>
                <w:rFonts w:eastAsia="Times New Roman" w:cs="Open Sans"/>
                <w:sz w:val="22"/>
              </w:rPr>
            </w:pPr>
            <w:r w:rsidRPr="009F78DE">
              <w:rPr>
                <w:rFonts w:eastAsia="Times New Roman" w:cs="Open Sans"/>
                <w:b/>
                <w:sz w:val="22"/>
              </w:rPr>
              <w:t xml:space="preserve">Overview: </w:t>
            </w:r>
            <w:r w:rsidRPr="009F78DE">
              <w:rPr>
                <w:rFonts w:eastAsia="Times New Roman" w:cs="Open Sans"/>
                <w:sz w:val="22"/>
              </w:rPr>
              <w:t>Students will analyze the functions of the legislative branch of the federal government.</w:t>
            </w:r>
          </w:p>
        </w:tc>
      </w:tr>
      <w:tr w:rsidR="009F78DE" w:rsidRPr="009F78DE" w14:paraId="532CC928"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3579C069"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AAD.GC.6</w:t>
            </w:r>
          </w:p>
        </w:tc>
        <w:tc>
          <w:tcPr>
            <w:tcW w:w="7285" w:type="dxa"/>
            <w:tcBorders>
              <w:top w:val="single" w:sz="4" w:space="0" w:color="auto"/>
              <w:left w:val="single" w:sz="4" w:space="0" w:color="auto"/>
              <w:bottom w:val="single" w:sz="4" w:space="0" w:color="auto"/>
              <w:right w:val="single" w:sz="4" w:space="0" w:color="auto"/>
            </w:tcBorders>
            <w:hideMark/>
          </w:tcPr>
          <w:p w14:paraId="1AD75D8E"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Define and describe the legislative branch.</w:t>
            </w:r>
          </w:p>
        </w:tc>
      </w:tr>
      <w:tr w:rsidR="009F78DE" w:rsidRPr="009F78DE" w14:paraId="28AEDDC7"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782DE2B0"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AAD.GC.7</w:t>
            </w:r>
          </w:p>
        </w:tc>
        <w:tc>
          <w:tcPr>
            <w:tcW w:w="7285" w:type="dxa"/>
            <w:tcBorders>
              <w:top w:val="single" w:sz="4" w:space="0" w:color="auto"/>
              <w:left w:val="single" w:sz="4" w:space="0" w:color="auto"/>
              <w:bottom w:val="single" w:sz="4" w:space="0" w:color="auto"/>
              <w:right w:val="single" w:sz="4" w:space="0" w:color="auto"/>
            </w:tcBorders>
            <w:hideMark/>
          </w:tcPr>
          <w:p w14:paraId="135E6E01"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Identify leadership positions within the legislative branch.</w:t>
            </w:r>
          </w:p>
        </w:tc>
      </w:tr>
      <w:tr w:rsidR="009F78DE" w:rsidRPr="009F78DE" w14:paraId="7B9E8883"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577EE4B9"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lastRenderedPageBreak/>
              <w:t>AAD.GC.8</w:t>
            </w:r>
          </w:p>
        </w:tc>
        <w:tc>
          <w:tcPr>
            <w:tcW w:w="7285" w:type="dxa"/>
            <w:tcBorders>
              <w:top w:val="single" w:sz="4" w:space="0" w:color="auto"/>
              <w:left w:val="single" w:sz="4" w:space="0" w:color="auto"/>
              <w:bottom w:val="single" w:sz="4" w:space="0" w:color="auto"/>
              <w:right w:val="single" w:sz="4" w:space="0" w:color="auto"/>
            </w:tcBorders>
            <w:hideMark/>
          </w:tcPr>
          <w:p w14:paraId="3A196759"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Discuss how a bill becomes a law including the role of citizens, grassroots initiatives, and advocacy organizations in the proposal and support of new legislation.</w:t>
            </w:r>
          </w:p>
        </w:tc>
      </w:tr>
      <w:tr w:rsidR="009F78DE" w:rsidRPr="009F78DE" w14:paraId="698D80D7"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0BE7F8DD"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AAD.GC.9</w:t>
            </w:r>
          </w:p>
        </w:tc>
        <w:tc>
          <w:tcPr>
            <w:tcW w:w="7285" w:type="dxa"/>
            <w:tcBorders>
              <w:top w:val="single" w:sz="4" w:space="0" w:color="auto"/>
              <w:left w:val="single" w:sz="4" w:space="0" w:color="auto"/>
              <w:bottom w:val="single" w:sz="4" w:space="0" w:color="auto"/>
              <w:right w:val="single" w:sz="4" w:space="0" w:color="auto"/>
            </w:tcBorders>
            <w:hideMark/>
          </w:tcPr>
          <w:p w14:paraId="5D42DFB8"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Examine and describe the Tennessee General Assembly including opportunities and process for meeting with state senators and representatives.</w:t>
            </w:r>
          </w:p>
        </w:tc>
      </w:tr>
      <w:tr w:rsidR="009F78DE" w:rsidRPr="009F78DE" w14:paraId="04E3293E"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8EAADB"/>
            <w:vAlign w:val="center"/>
            <w:hideMark/>
          </w:tcPr>
          <w:p w14:paraId="7494A0A1"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The Executive Branch</w:t>
            </w:r>
          </w:p>
        </w:tc>
      </w:tr>
      <w:tr w:rsidR="009F78DE" w:rsidRPr="009F78DE" w14:paraId="58024CCF"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B4C6E7"/>
            <w:hideMark/>
          </w:tcPr>
          <w:p w14:paraId="19B1E09B" w14:textId="77777777" w:rsidR="009F78DE" w:rsidRPr="009F78DE" w:rsidRDefault="009F78DE" w:rsidP="009F78DE">
            <w:pPr>
              <w:spacing w:line="256" w:lineRule="auto"/>
              <w:rPr>
                <w:rFonts w:eastAsia="Times New Roman" w:cs="Open Sans"/>
                <w:sz w:val="22"/>
              </w:rPr>
            </w:pPr>
            <w:r w:rsidRPr="009F78DE">
              <w:rPr>
                <w:rFonts w:eastAsia="Times New Roman" w:cs="Open Sans"/>
                <w:b/>
                <w:sz w:val="22"/>
              </w:rPr>
              <w:t xml:space="preserve">Overview: </w:t>
            </w:r>
            <w:r w:rsidRPr="009F78DE">
              <w:rPr>
                <w:rFonts w:eastAsia="Times New Roman" w:cs="Open Sans"/>
                <w:sz w:val="22"/>
              </w:rPr>
              <w:t>Students will analyze the functions of the executive branch of the federal government.</w:t>
            </w:r>
          </w:p>
        </w:tc>
      </w:tr>
      <w:tr w:rsidR="009F78DE" w:rsidRPr="009F78DE" w14:paraId="38C8B5E4"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6B498B5F"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AAD.GC.10</w:t>
            </w:r>
          </w:p>
        </w:tc>
        <w:tc>
          <w:tcPr>
            <w:tcW w:w="7285" w:type="dxa"/>
            <w:tcBorders>
              <w:top w:val="single" w:sz="4" w:space="0" w:color="auto"/>
              <w:left w:val="single" w:sz="4" w:space="0" w:color="auto"/>
              <w:bottom w:val="single" w:sz="4" w:space="0" w:color="auto"/>
              <w:right w:val="single" w:sz="4" w:space="0" w:color="auto"/>
            </w:tcBorders>
            <w:hideMark/>
          </w:tcPr>
          <w:p w14:paraId="7F74A41C"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Define and describe the executive branch</w:t>
            </w:r>
          </w:p>
        </w:tc>
      </w:tr>
      <w:tr w:rsidR="009F78DE" w:rsidRPr="009F78DE" w14:paraId="66E598C1"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06F6BF14"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AAD.GC.11</w:t>
            </w:r>
          </w:p>
        </w:tc>
        <w:tc>
          <w:tcPr>
            <w:tcW w:w="7285" w:type="dxa"/>
            <w:tcBorders>
              <w:top w:val="single" w:sz="4" w:space="0" w:color="auto"/>
              <w:left w:val="single" w:sz="4" w:space="0" w:color="auto"/>
              <w:bottom w:val="single" w:sz="4" w:space="0" w:color="auto"/>
              <w:right w:val="single" w:sz="4" w:space="0" w:color="auto"/>
            </w:tcBorders>
            <w:hideMark/>
          </w:tcPr>
          <w:p w14:paraId="430D0E2C"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Identify the major departments within the executive branch: defense, education, justice, state, and treasury.</w:t>
            </w:r>
          </w:p>
        </w:tc>
      </w:tr>
      <w:tr w:rsidR="009F78DE" w:rsidRPr="009F78DE" w14:paraId="6B0D888B"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11221E1A"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AAD.GC.12</w:t>
            </w:r>
          </w:p>
        </w:tc>
        <w:tc>
          <w:tcPr>
            <w:tcW w:w="7285" w:type="dxa"/>
            <w:tcBorders>
              <w:top w:val="single" w:sz="4" w:space="0" w:color="auto"/>
              <w:left w:val="single" w:sz="4" w:space="0" w:color="auto"/>
              <w:bottom w:val="single" w:sz="4" w:space="0" w:color="auto"/>
              <w:right w:val="single" w:sz="4" w:space="0" w:color="auto"/>
            </w:tcBorders>
            <w:hideMark/>
          </w:tcPr>
          <w:p w14:paraId="64E973D4"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Compare the executive branch roles and responsibilities to the Tennessee Office of the Governor.</w:t>
            </w:r>
          </w:p>
        </w:tc>
      </w:tr>
      <w:tr w:rsidR="009F78DE" w:rsidRPr="009F78DE" w14:paraId="7E4AB846"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8EAADB"/>
            <w:vAlign w:val="center"/>
            <w:hideMark/>
          </w:tcPr>
          <w:p w14:paraId="013C385B"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The Judicial Branch</w:t>
            </w:r>
          </w:p>
        </w:tc>
      </w:tr>
      <w:tr w:rsidR="009F78DE" w:rsidRPr="009F78DE" w14:paraId="064B8CC5"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B4C6E7"/>
            <w:hideMark/>
          </w:tcPr>
          <w:p w14:paraId="138C3EA2" w14:textId="77777777" w:rsidR="009F78DE" w:rsidRPr="009F78DE" w:rsidRDefault="009F78DE" w:rsidP="009F78DE">
            <w:pPr>
              <w:spacing w:line="256" w:lineRule="auto"/>
              <w:rPr>
                <w:rFonts w:eastAsia="Times New Roman" w:cs="Open Sans"/>
                <w:sz w:val="22"/>
              </w:rPr>
            </w:pPr>
            <w:r w:rsidRPr="009F78DE">
              <w:rPr>
                <w:rFonts w:eastAsia="Times New Roman" w:cs="Open Sans"/>
                <w:b/>
                <w:sz w:val="22"/>
              </w:rPr>
              <w:t xml:space="preserve">Overview: </w:t>
            </w:r>
            <w:r w:rsidRPr="009F78DE">
              <w:rPr>
                <w:rFonts w:eastAsia="Times New Roman" w:cs="Open Sans"/>
                <w:sz w:val="22"/>
              </w:rPr>
              <w:t>Students will analyze the functions of the judicial branch of the federal government</w:t>
            </w:r>
          </w:p>
        </w:tc>
      </w:tr>
      <w:tr w:rsidR="009F78DE" w:rsidRPr="009F78DE" w14:paraId="4AA05EE6"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1B6412B9"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AAD.GC.13</w:t>
            </w:r>
          </w:p>
        </w:tc>
        <w:tc>
          <w:tcPr>
            <w:tcW w:w="7285" w:type="dxa"/>
            <w:tcBorders>
              <w:top w:val="single" w:sz="4" w:space="0" w:color="auto"/>
              <w:left w:val="single" w:sz="4" w:space="0" w:color="auto"/>
              <w:bottom w:val="single" w:sz="4" w:space="0" w:color="auto"/>
              <w:right w:val="single" w:sz="4" w:space="0" w:color="auto"/>
            </w:tcBorders>
            <w:hideMark/>
          </w:tcPr>
          <w:p w14:paraId="692EFCAD"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Describe and explain the role of the Supreme Court.</w:t>
            </w:r>
          </w:p>
        </w:tc>
      </w:tr>
      <w:tr w:rsidR="009F78DE" w:rsidRPr="009F78DE" w14:paraId="0C8F6A18"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05658688"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AAD.GC.14</w:t>
            </w:r>
          </w:p>
        </w:tc>
        <w:tc>
          <w:tcPr>
            <w:tcW w:w="7285" w:type="dxa"/>
            <w:tcBorders>
              <w:top w:val="single" w:sz="4" w:space="0" w:color="auto"/>
              <w:left w:val="single" w:sz="4" w:space="0" w:color="auto"/>
              <w:bottom w:val="single" w:sz="4" w:space="0" w:color="auto"/>
              <w:right w:val="single" w:sz="4" w:space="0" w:color="auto"/>
            </w:tcBorders>
            <w:hideMark/>
          </w:tcPr>
          <w:p w14:paraId="22E6D53E"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Describe and explain the role of the Tennessee State Courts and the US Attorney General Offices in Tennessee.</w:t>
            </w:r>
          </w:p>
        </w:tc>
      </w:tr>
      <w:tr w:rsidR="009F78DE" w:rsidRPr="009F78DE" w14:paraId="2D3E5BB2"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8EAADB"/>
            <w:vAlign w:val="center"/>
            <w:hideMark/>
          </w:tcPr>
          <w:p w14:paraId="74E5C187"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Civil Liberties</w:t>
            </w:r>
          </w:p>
        </w:tc>
      </w:tr>
      <w:tr w:rsidR="009F78DE" w:rsidRPr="009F78DE" w14:paraId="4599402E"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B4C6E7"/>
            <w:hideMark/>
          </w:tcPr>
          <w:p w14:paraId="4C5074AF" w14:textId="77777777" w:rsidR="009F78DE" w:rsidRPr="009F78DE" w:rsidRDefault="009F78DE" w:rsidP="009F78DE">
            <w:pPr>
              <w:spacing w:line="256" w:lineRule="auto"/>
              <w:rPr>
                <w:rFonts w:eastAsia="Times New Roman" w:cs="Open Sans"/>
                <w:sz w:val="22"/>
              </w:rPr>
            </w:pPr>
            <w:r w:rsidRPr="009F78DE">
              <w:rPr>
                <w:rFonts w:eastAsia="Times New Roman" w:cs="Open Sans"/>
                <w:b/>
                <w:sz w:val="22"/>
              </w:rPr>
              <w:t xml:space="preserve">Overview: </w:t>
            </w:r>
            <w:r w:rsidRPr="009F78DE">
              <w:rPr>
                <w:rFonts w:eastAsia="Times New Roman" w:cs="Open Sans"/>
                <w:sz w:val="22"/>
              </w:rPr>
              <w:t>Students will identify various liberties that are ensured through the Constitution and analyze court cases that have impacted the ways our liberties are protected.</w:t>
            </w:r>
          </w:p>
        </w:tc>
      </w:tr>
      <w:tr w:rsidR="009F78DE" w:rsidRPr="009F78DE" w14:paraId="0BB4C866"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2340000D"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AAD.GC.15</w:t>
            </w:r>
          </w:p>
        </w:tc>
        <w:tc>
          <w:tcPr>
            <w:tcW w:w="7285" w:type="dxa"/>
            <w:tcBorders>
              <w:top w:val="single" w:sz="4" w:space="0" w:color="auto"/>
              <w:left w:val="single" w:sz="4" w:space="0" w:color="auto"/>
              <w:bottom w:val="single" w:sz="4" w:space="0" w:color="auto"/>
              <w:right w:val="single" w:sz="4" w:space="0" w:color="auto"/>
            </w:tcBorders>
            <w:hideMark/>
          </w:tcPr>
          <w:p w14:paraId="694EB64E"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and discuss the impact of the Supreme Court’s interpretation of the 14</w:t>
            </w:r>
            <w:r w:rsidRPr="009F78DE">
              <w:rPr>
                <w:rFonts w:eastAsia="Times New Roman" w:cs="Open Sans"/>
                <w:sz w:val="22"/>
                <w:vertAlign w:val="superscript"/>
              </w:rPr>
              <w:t>th</w:t>
            </w:r>
            <w:r w:rsidRPr="009F78DE">
              <w:rPr>
                <w:rFonts w:eastAsia="Times New Roman" w:cs="Open Sans"/>
                <w:sz w:val="22"/>
              </w:rPr>
              <w:t xml:space="preserve"> Amendment related to </w:t>
            </w:r>
            <w:r w:rsidRPr="009F78DE">
              <w:rPr>
                <w:rFonts w:eastAsia="Times New Roman" w:cs="Open Sans"/>
                <w:i/>
                <w:sz w:val="22"/>
              </w:rPr>
              <w:t>Brown vs. Board of Education.</w:t>
            </w:r>
          </w:p>
        </w:tc>
      </w:tr>
      <w:tr w:rsidR="009F78DE" w:rsidRPr="009F78DE" w14:paraId="775D63AA"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3178A069"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AAD.GC.16</w:t>
            </w:r>
          </w:p>
        </w:tc>
        <w:tc>
          <w:tcPr>
            <w:tcW w:w="7285" w:type="dxa"/>
            <w:tcBorders>
              <w:top w:val="single" w:sz="4" w:space="0" w:color="auto"/>
              <w:left w:val="single" w:sz="4" w:space="0" w:color="auto"/>
              <w:bottom w:val="single" w:sz="4" w:space="0" w:color="auto"/>
              <w:right w:val="single" w:sz="4" w:space="0" w:color="auto"/>
            </w:tcBorders>
            <w:hideMark/>
          </w:tcPr>
          <w:p w14:paraId="7BAEAE30"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 xml:space="preserve">Identify and explain legislation and legal precedents that established the American with Disabilities Act </w:t>
            </w:r>
          </w:p>
        </w:tc>
      </w:tr>
      <w:tr w:rsidR="009F78DE" w:rsidRPr="009F78DE" w14:paraId="367CD440"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8EAADB"/>
            <w:vAlign w:val="center"/>
            <w:hideMark/>
          </w:tcPr>
          <w:p w14:paraId="54C57741"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Tennessee State and Local Government</w:t>
            </w:r>
          </w:p>
        </w:tc>
      </w:tr>
      <w:tr w:rsidR="009F78DE" w:rsidRPr="009F78DE" w14:paraId="5C7FDC20"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B4C6E7"/>
          </w:tcPr>
          <w:p w14:paraId="6DE77AB5" w14:textId="77777777" w:rsidR="009F78DE" w:rsidRPr="009F78DE" w:rsidRDefault="009F78DE" w:rsidP="009F78DE">
            <w:pPr>
              <w:spacing w:line="256" w:lineRule="auto"/>
              <w:rPr>
                <w:rFonts w:eastAsia="Times New Roman" w:cs="Open Sans"/>
                <w:sz w:val="22"/>
              </w:rPr>
            </w:pPr>
            <w:r w:rsidRPr="009F78DE">
              <w:rPr>
                <w:rFonts w:eastAsia="Times New Roman" w:cs="Open Sans"/>
                <w:b/>
                <w:sz w:val="22"/>
              </w:rPr>
              <w:t xml:space="preserve">Overview: </w:t>
            </w:r>
            <w:r w:rsidRPr="009F78DE">
              <w:rPr>
                <w:rFonts w:eastAsia="Times New Roman" w:cs="Open Sans"/>
                <w:sz w:val="22"/>
              </w:rPr>
              <w:t>Students will identify state leaders and explain state and local governance in Tennessee through exploration of the various structures and functions of government.</w:t>
            </w:r>
          </w:p>
          <w:p w14:paraId="645B5B53" w14:textId="77777777" w:rsidR="009F78DE" w:rsidRPr="009F78DE" w:rsidRDefault="009F78DE" w:rsidP="009F78DE">
            <w:pPr>
              <w:spacing w:line="256" w:lineRule="auto"/>
              <w:rPr>
                <w:rFonts w:eastAsia="Times New Roman" w:cs="Open Sans"/>
                <w:sz w:val="22"/>
              </w:rPr>
            </w:pPr>
          </w:p>
          <w:p w14:paraId="1FCB7CCF" w14:textId="77777777" w:rsidR="009F78DE" w:rsidRPr="009F78DE" w:rsidRDefault="009F78DE" w:rsidP="009F78DE">
            <w:pPr>
              <w:spacing w:line="256" w:lineRule="auto"/>
              <w:rPr>
                <w:rFonts w:eastAsia="Times New Roman" w:cs="Open Sans"/>
                <w:b/>
                <w:i/>
                <w:sz w:val="22"/>
              </w:rPr>
            </w:pPr>
            <w:r w:rsidRPr="009F78DE">
              <w:rPr>
                <w:rFonts w:eastAsia="Times New Roman" w:cs="Open Sans"/>
                <w:b/>
                <w:i/>
                <w:sz w:val="22"/>
              </w:rPr>
              <w:lastRenderedPageBreak/>
              <w:t xml:space="preserve">The majority of the course work will be in this domain. As a reminder, resources for instruction may include </w:t>
            </w:r>
            <w:hyperlink r:id="rId9" w:history="1">
              <w:r w:rsidRPr="008E030B">
                <w:rPr>
                  <w:rFonts w:eastAsia="Times New Roman" w:cs="Open Sans"/>
                  <w:b/>
                  <w:i/>
                  <w:color w:val="0563C1"/>
                  <w:sz w:val="22"/>
                  <w:u w:val="single"/>
                </w:rPr>
                <w:t>TransitionTN.org</w:t>
              </w:r>
            </w:hyperlink>
            <w:r w:rsidRPr="009F78DE">
              <w:rPr>
                <w:rFonts w:eastAsia="Times New Roman" w:cs="Open Sans"/>
                <w:b/>
                <w:i/>
                <w:sz w:val="22"/>
              </w:rPr>
              <w:t xml:space="preserve"> and state advocacy groups such as Tennessee Works, Disability Rights Tennessee, and the Council for Developmental Disabilities.</w:t>
            </w:r>
          </w:p>
        </w:tc>
      </w:tr>
      <w:tr w:rsidR="009F78DE" w:rsidRPr="009F78DE" w14:paraId="35384A72"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302CAA0B"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lastRenderedPageBreak/>
              <w:t>AAD.GC.17</w:t>
            </w:r>
          </w:p>
        </w:tc>
        <w:tc>
          <w:tcPr>
            <w:tcW w:w="7285" w:type="dxa"/>
            <w:tcBorders>
              <w:top w:val="single" w:sz="4" w:space="0" w:color="auto"/>
              <w:left w:val="single" w:sz="4" w:space="0" w:color="auto"/>
              <w:bottom w:val="single" w:sz="4" w:space="0" w:color="auto"/>
              <w:right w:val="single" w:sz="4" w:space="0" w:color="auto"/>
            </w:tcBorders>
            <w:hideMark/>
          </w:tcPr>
          <w:p w14:paraId="3C84297C"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Vocational Rehabilitation (VR) that may be useful within the student’s personal transition and postsecondary plan.</w:t>
            </w:r>
          </w:p>
        </w:tc>
      </w:tr>
      <w:tr w:rsidR="009F78DE" w:rsidRPr="009F78DE" w14:paraId="0A59BD7D"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4B8CCD6E"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AAD.GC.18</w:t>
            </w:r>
          </w:p>
        </w:tc>
        <w:tc>
          <w:tcPr>
            <w:tcW w:w="7285" w:type="dxa"/>
            <w:tcBorders>
              <w:top w:val="single" w:sz="4" w:space="0" w:color="auto"/>
              <w:left w:val="single" w:sz="4" w:space="0" w:color="auto"/>
              <w:bottom w:val="single" w:sz="4" w:space="0" w:color="auto"/>
              <w:right w:val="single" w:sz="4" w:space="0" w:color="auto"/>
            </w:tcBorders>
            <w:hideMark/>
          </w:tcPr>
          <w:p w14:paraId="73B1E2E1"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Department of Intellectual and Developmental Disabilities (DIDD) that may be useful within the student’s personal transition and postsecondary plan.</w:t>
            </w:r>
          </w:p>
        </w:tc>
      </w:tr>
      <w:tr w:rsidR="009F78DE" w:rsidRPr="009F78DE" w14:paraId="63C0E9BB"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2FC71FAE"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AAD.GC.19</w:t>
            </w:r>
          </w:p>
        </w:tc>
        <w:tc>
          <w:tcPr>
            <w:tcW w:w="7285" w:type="dxa"/>
            <w:tcBorders>
              <w:top w:val="single" w:sz="4" w:space="0" w:color="auto"/>
              <w:left w:val="single" w:sz="4" w:space="0" w:color="auto"/>
              <w:bottom w:val="single" w:sz="4" w:space="0" w:color="auto"/>
              <w:right w:val="single" w:sz="4" w:space="0" w:color="auto"/>
            </w:tcBorders>
            <w:hideMark/>
          </w:tcPr>
          <w:p w14:paraId="051723B1" w14:textId="4E0FC9B4"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 xml:space="preserve">Identify the supports and/or services provided by </w:t>
            </w:r>
            <w:proofErr w:type="spellStart"/>
            <w:r w:rsidRPr="009F78DE">
              <w:rPr>
                <w:rFonts w:eastAsia="Times New Roman" w:cs="Open Sans"/>
                <w:sz w:val="22"/>
              </w:rPr>
              <w:t>TennCare</w:t>
            </w:r>
            <w:proofErr w:type="spellEnd"/>
            <w:r w:rsidR="00DE21B4">
              <w:rPr>
                <w:rFonts w:eastAsia="Times New Roman" w:cs="Open Sans"/>
                <w:sz w:val="22"/>
              </w:rPr>
              <w:t xml:space="preserve">, including the Employment Community First (ECF) </w:t>
            </w:r>
            <w:proofErr w:type="gramStart"/>
            <w:r w:rsidR="00DE21B4">
              <w:rPr>
                <w:rFonts w:eastAsia="Times New Roman" w:cs="Open Sans"/>
                <w:sz w:val="22"/>
              </w:rPr>
              <w:t>waiver,</w:t>
            </w:r>
            <w:r w:rsidRPr="009F78DE">
              <w:rPr>
                <w:rFonts w:eastAsia="Times New Roman" w:cs="Open Sans"/>
                <w:sz w:val="22"/>
              </w:rPr>
              <w:t xml:space="preserve"> that</w:t>
            </w:r>
            <w:proofErr w:type="gramEnd"/>
            <w:r w:rsidRPr="009F78DE">
              <w:rPr>
                <w:rFonts w:eastAsia="Times New Roman" w:cs="Open Sans"/>
                <w:sz w:val="22"/>
              </w:rPr>
              <w:t xml:space="preserve"> may be useful within the student’s personal transition and postsecondary plan.</w:t>
            </w:r>
          </w:p>
        </w:tc>
      </w:tr>
      <w:tr w:rsidR="009F78DE" w:rsidRPr="009F78DE" w14:paraId="170CF481"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7AD3A01E"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AAD.GC.20</w:t>
            </w:r>
          </w:p>
        </w:tc>
        <w:tc>
          <w:tcPr>
            <w:tcW w:w="7285" w:type="dxa"/>
            <w:tcBorders>
              <w:top w:val="single" w:sz="4" w:space="0" w:color="auto"/>
              <w:left w:val="single" w:sz="4" w:space="0" w:color="auto"/>
              <w:bottom w:val="single" w:sz="4" w:space="0" w:color="auto"/>
              <w:right w:val="single" w:sz="4" w:space="0" w:color="auto"/>
            </w:tcBorders>
            <w:hideMark/>
          </w:tcPr>
          <w:p w14:paraId="23B2A266"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the Department of human Services including the Statewide Independent Living Council and local Centers for Independent Living (CILs) that may be useful within the student’s personal transition and postsecondary plan.</w:t>
            </w:r>
          </w:p>
        </w:tc>
      </w:tr>
      <w:tr w:rsidR="009F78DE" w:rsidRPr="009F78DE" w14:paraId="2A5CFD5D"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670CBD58"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AAD.GC.21</w:t>
            </w:r>
          </w:p>
        </w:tc>
        <w:tc>
          <w:tcPr>
            <w:tcW w:w="7285" w:type="dxa"/>
            <w:tcBorders>
              <w:top w:val="single" w:sz="4" w:space="0" w:color="auto"/>
              <w:left w:val="single" w:sz="4" w:space="0" w:color="auto"/>
              <w:bottom w:val="single" w:sz="4" w:space="0" w:color="auto"/>
              <w:right w:val="single" w:sz="4" w:space="0" w:color="auto"/>
            </w:tcBorders>
            <w:hideMark/>
          </w:tcPr>
          <w:p w14:paraId="6EC8D9EB"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Department of Labor including local American Job Centers that may be useful within the student’s personal transition and postsecondary plan.</w:t>
            </w:r>
          </w:p>
        </w:tc>
      </w:tr>
      <w:tr w:rsidR="009F78DE" w:rsidRPr="009F78DE" w14:paraId="7F76B94E"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4C70AF54"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AAD.GC.22</w:t>
            </w:r>
          </w:p>
        </w:tc>
        <w:tc>
          <w:tcPr>
            <w:tcW w:w="7285" w:type="dxa"/>
            <w:tcBorders>
              <w:top w:val="single" w:sz="4" w:space="0" w:color="auto"/>
              <w:left w:val="single" w:sz="4" w:space="0" w:color="auto"/>
              <w:bottom w:val="single" w:sz="4" w:space="0" w:color="auto"/>
              <w:right w:val="single" w:sz="4" w:space="0" w:color="auto"/>
            </w:tcBorders>
            <w:hideMark/>
          </w:tcPr>
          <w:p w14:paraId="1A02FB7D"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the Department of Economic and Community Development (ECD) that may be useful within the student’s personal transition and postsecondary plan.</w:t>
            </w:r>
          </w:p>
        </w:tc>
      </w:tr>
      <w:tr w:rsidR="009F78DE" w:rsidRPr="009F78DE" w14:paraId="7C0B533E"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08AFEFCF"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AAD.GC.23</w:t>
            </w:r>
          </w:p>
        </w:tc>
        <w:tc>
          <w:tcPr>
            <w:tcW w:w="7285" w:type="dxa"/>
            <w:tcBorders>
              <w:top w:val="single" w:sz="4" w:space="0" w:color="auto"/>
              <w:left w:val="single" w:sz="4" w:space="0" w:color="auto"/>
              <w:bottom w:val="single" w:sz="4" w:space="0" w:color="auto"/>
              <w:right w:val="single" w:sz="4" w:space="0" w:color="auto"/>
            </w:tcBorders>
            <w:hideMark/>
          </w:tcPr>
          <w:p w14:paraId="608F7F16"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Disability Rights Tennessee (DRT) that may be useful within the student’s personal transition and postsecondary plan.</w:t>
            </w:r>
          </w:p>
        </w:tc>
      </w:tr>
      <w:tr w:rsidR="009F78DE" w:rsidRPr="009F78DE" w14:paraId="614D7BD0"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59857313"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AAD.GC.24</w:t>
            </w:r>
          </w:p>
        </w:tc>
        <w:tc>
          <w:tcPr>
            <w:tcW w:w="7285" w:type="dxa"/>
            <w:tcBorders>
              <w:top w:val="single" w:sz="4" w:space="0" w:color="auto"/>
              <w:left w:val="single" w:sz="4" w:space="0" w:color="auto"/>
              <w:bottom w:val="single" w:sz="4" w:space="0" w:color="auto"/>
              <w:right w:val="single" w:sz="4" w:space="0" w:color="auto"/>
            </w:tcBorders>
            <w:hideMark/>
          </w:tcPr>
          <w:p w14:paraId="6F9C7BFD" w14:textId="66A04A8E" w:rsidR="009F78DE" w:rsidRPr="009F78DE" w:rsidRDefault="009F78DE" w:rsidP="00663FF6">
            <w:pPr>
              <w:spacing w:line="256" w:lineRule="auto"/>
              <w:jc w:val="left"/>
              <w:rPr>
                <w:rFonts w:eastAsia="Times New Roman" w:cs="Open Sans"/>
                <w:i/>
                <w:sz w:val="22"/>
              </w:rPr>
            </w:pPr>
            <w:r w:rsidRPr="009F78DE">
              <w:rPr>
                <w:rFonts w:eastAsia="Times New Roman" w:cs="Open Sans"/>
                <w:sz w:val="22"/>
              </w:rPr>
              <w:t>Identify the supports and/or services provided by the state and local libraries including, when applicable, the Library for</w:t>
            </w:r>
            <w:r w:rsidR="00663FF6">
              <w:rPr>
                <w:rFonts w:eastAsia="Times New Roman" w:cs="Open Sans"/>
                <w:sz w:val="22"/>
              </w:rPr>
              <w:t xml:space="preserve"> Accessible Books and Materials (formally named the Library for </w:t>
            </w:r>
            <w:r w:rsidRPr="009F78DE">
              <w:rPr>
                <w:rFonts w:eastAsia="Times New Roman" w:cs="Open Sans"/>
                <w:sz w:val="22"/>
              </w:rPr>
              <w:t>the Blind and Physically Handicapped</w:t>
            </w:r>
            <w:r w:rsidR="00663FF6">
              <w:rPr>
                <w:rFonts w:eastAsia="Times New Roman" w:cs="Open Sans"/>
                <w:sz w:val="22"/>
              </w:rPr>
              <w:t>)</w:t>
            </w:r>
            <w:r w:rsidRPr="009F78DE">
              <w:rPr>
                <w:rFonts w:eastAsia="Times New Roman" w:cs="Open Sans"/>
                <w:sz w:val="22"/>
              </w:rPr>
              <w:t xml:space="preserve"> and the library services for the deaf and hard of hearing that may be useful within the student’s personal transition and postsecondary plan.</w:t>
            </w:r>
          </w:p>
        </w:tc>
      </w:tr>
      <w:tr w:rsidR="009F78DE" w:rsidRPr="009F78DE" w14:paraId="61A86208"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7493D1C5"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AAD.GC.25</w:t>
            </w:r>
          </w:p>
        </w:tc>
        <w:tc>
          <w:tcPr>
            <w:tcW w:w="7285" w:type="dxa"/>
            <w:tcBorders>
              <w:top w:val="single" w:sz="4" w:space="0" w:color="auto"/>
              <w:left w:val="single" w:sz="4" w:space="0" w:color="auto"/>
              <w:bottom w:val="single" w:sz="4" w:space="0" w:color="auto"/>
              <w:right w:val="single" w:sz="4" w:space="0" w:color="auto"/>
            </w:tcBorders>
            <w:hideMark/>
          </w:tcPr>
          <w:p w14:paraId="65E37264"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Identify the supports and/or services provided by the Department of Human Services including, if applicable, services for the deaf, deaf-blind, hard of hearing, blind, and/or visually impaired that may be useful within the student’s personal transition and postsecondary plan.</w:t>
            </w:r>
          </w:p>
        </w:tc>
      </w:tr>
      <w:tr w:rsidR="009F78DE" w:rsidRPr="009F78DE" w14:paraId="6AC6B017"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13C5C8D7"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AAD.GC.26</w:t>
            </w:r>
          </w:p>
        </w:tc>
        <w:tc>
          <w:tcPr>
            <w:tcW w:w="7285" w:type="dxa"/>
            <w:tcBorders>
              <w:top w:val="single" w:sz="4" w:space="0" w:color="auto"/>
              <w:left w:val="single" w:sz="4" w:space="0" w:color="auto"/>
              <w:bottom w:val="single" w:sz="4" w:space="0" w:color="auto"/>
              <w:right w:val="single" w:sz="4" w:space="0" w:color="auto"/>
            </w:tcBorders>
            <w:hideMark/>
          </w:tcPr>
          <w:p w14:paraId="25B6A438"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the Department of Transportation that may be useful within the student’s personal transition and postsecondary plan.</w:t>
            </w:r>
          </w:p>
        </w:tc>
      </w:tr>
      <w:tr w:rsidR="009F78DE" w:rsidRPr="009F78DE" w14:paraId="54616221"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635E4196"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lastRenderedPageBreak/>
              <w:t>AAD.GC.27</w:t>
            </w:r>
          </w:p>
        </w:tc>
        <w:tc>
          <w:tcPr>
            <w:tcW w:w="7285" w:type="dxa"/>
            <w:tcBorders>
              <w:top w:val="single" w:sz="4" w:space="0" w:color="auto"/>
              <w:left w:val="single" w:sz="4" w:space="0" w:color="auto"/>
              <w:bottom w:val="single" w:sz="4" w:space="0" w:color="auto"/>
              <w:right w:val="single" w:sz="4" w:space="0" w:color="auto"/>
            </w:tcBorders>
            <w:hideMark/>
          </w:tcPr>
          <w:p w14:paraId="3207129A"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 xml:space="preserve">Identify the supports and/or services provided by the Tennessee Department of Treasury including </w:t>
            </w:r>
            <w:proofErr w:type="spellStart"/>
            <w:r w:rsidRPr="009F78DE">
              <w:rPr>
                <w:rFonts w:eastAsia="Times New Roman" w:cs="Open Sans"/>
                <w:sz w:val="22"/>
              </w:rPr>
              <w:t>AbleTN</w:t>
            </w:r>
            <w:proofErr w:type="spellEnd"/>
            <w:r w:rsidRPr="009F78DE">
              <w:rPr>
                <w:rFonts w:eastAsia="Times New Roman" w:cs="Open Sans"/>
                <w:sz w:val="22"/>
              </w:rPr>
              <w:t xml:space="preserve"> that may be useful within the student’s personal transition and postsecondary plan.</w:t>
            </w:r>
          </w:p>
        </w:tc>
      </w:tr>
      <w:tr w:rsidR="009F78DE" w:rsidRPr="009F78DE" w14:paraId="0F2E0FEE"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36FE7111"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AAD.GC.28</w:t>
            </w:r>
          </w:p>
        </w:tc>
        <w:tc>
          <w:tcPr>
            <w:tcW w:w="7285" w:type="dxa"/>
            <w:tcBorders>
              <w:top w:val="single" w:sz="4" w:space="0" w:color="auto"/>
              <w:left w:val="single" w:sz="4" w:space="0" w:color="auto"/>
              <w:bottom w:val="single" w:sz="4" w:space="0" w:color="auto"/>
              <w:right w:val="single" w:sz="4" w:space="0" w:color="auto"/>
            </w:tcBorders>
            <w:hideMark/>
          </w:tcPr>
          <w:p w14:paraId="5A44744A"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the Tennessee Commission on Disability and Aging that may be useful within the student’s personal transition and postsecondary plan.</w:t>
            </w:r>
          </w:p>
        </w:tc>
      </w:tr>
      <w:tr w:rsidR="009F78DE" w:rsidRPr="009F78DE" w14:paraId="0FAB1E51"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7525D727"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AAD.GC.29</w:t>
            </w:r>
          </w:p>
        </w:tc>
        <w:tc>
          <w:tcPr>
            <w:tcW w:w="7285" w:type="dxa"/>
            <w:tcBorders>
              <w:top w:val="single" w:sz="4" w:space="0" w:color="auto"/>
              <w:left w:val="single" w:sz="4" w:space="0" w:color="auto"/>
              <w:bottom w:val="single" w:sz="4" w:space="0" w:color="auto"/>
              <w:right w:val="single" w:sz="4" w:space="0" w:color="auto"/>
            </w:tcBorders>
            <w:hideMark/>
          </w:tcPr>
          <w:p w14:paraId="47BBEE20" w14:textId="77777777" w:rsidR="009F78DE" w:rsidRPr="009F78DE" w:rsidRDefault="009F78DE" w:rsidP="00EC5539">
            <w:pPr>
              <w:spacing w:line="256" w:lineRule="auto"/>
              <w:jc w:val="left"/>
              <w:rPr>
                <w:rFonts w:eastAsia="Times New Roman" w:cs="Open Sans"/>
                <w:i/>
                <w:sz w:val="22"/>
              </w:rPr>
            </w:pPr>
            <w:r w:rsidRPr="009F78DE">
              <w:rPr>
                <w:rFonts w:eastAsia="Times New Roman" w:cs="Open Sans"/>
                <w:sz w:val="22"/>
              </w:rPr>
              <w:t>Identify the supports and/or services provided by other state of local agencies that may be useful within the student’s personal transition and postsecondary plan.</w:t>
            </w:r>
          </w:p>
        </w:tc>
      </w:tr>
      <w:tr w:rsidR="009F78DE" w:rsidRPr="009F78DE" w14:paraId="25B0B028"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8EAADB"/>
            <w:vAlign w:val="center"/>
            <w:hideMark/>
          </w:tcPr>
          <w:p w14:paraId="32B6B0FD"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Citizen Participation</w:t>
            </w:r>
          </w:p>
        </w:tc>
      </w:tr>
      <w:tr w:rsidR="009F78DE" w:rsidRPr="009F78DE" w14:paraId="115293E0" w14:textId="77777777" w:rsidTr="009F78DE">
        <w:trPr>
          <w:trHeight w:val="720"/>
        </w:trPr>
        <w:tc>
          <w:tcPr>
            <w:tcW w:w="9445" w:type="dxa"/>
            <w:gridSpan w:val="2"/>
            <w:tcBorders>
              <w:top w:val="single" w:sz="4" w:space="0" w:color="auto"/>
              <w:left w:val="single" w:sz="4" w:space="0" w:color="auto"/>
              <w:bottom w:val="single" w:sz="4" w:space="0" w:color="auto"/>
              <w:right w:val="single" w:sz="4" w:space="0" w:color="auto"/>
            </w:tcBorders>
            <w:shd w:val="clear" w:color="auto" w:fill="B4C6E7"/>
            <w:hideMark/>
          </w:tcPr>
          <w:p w14:paraId="0662A4A2" w14:textId="77777777" w:rsidR="009F78DE" w:rsidRPr="009F78DE" w:rsidRDefault="009F78DE" w:rsidP="009F78DE">
            <w:pPr>
              <w:spacing w:line="256" w:lineRule="auto"/>
              <w:rPr>
                <w:rFonts w:eastAsia="Times New Roman" w:cs="Open Sans"/>
                <w:sz w:val="22"/>
              </w:rPr>
            </w:pPr>
            <w:r w:rsidRPr="009F78DE">
              <w:rPr>
                <w:rFonts w:eastAsia="Times New Roman" w:cs="Open Sans"/>
                <w:b/>
                <w:sz w:val="22"/>
              </w:rPr>
              <w:t xml:space="preserve">Overview: </w:t>
            </w:r>
            <w:r w:rsidRPr="009F78DE">
              <w:rPr>
                <w:rFonts w:eastAsia="Times New Roman" w:cs="Open Sans"/>
                <w:sz w:val="22"/>
              </w:rPr>
              <w:t>Students will examine the responsibilities and opportunities of a citizen of the U.S</w:t>
            </w:r>
          </w:p>
        </w:tc>
      </w:tr>
      <w:tr w:rsidR="009F78DE" w:rsidRPr="009F78DE" w14:paraId="5F46D23E"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27FFB49F"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AAD.GC.30</w:t>
            </w:r>
          </w:p>
        </w:tc>
        <w:tc>
          <w:tcPr>
            <w:tcW w:w="7285" w:type="dxa"/>
            <w:tcBorders>
              <w:top w:val="single" w:sz="4" w:space="0" w:color="auto"/>
              <w:left w:val="single" w:sz="4" w:space="0" w:color="auto"/>
              <w:bottom w:val="single" w:sz="4" w:space="0" w:color="auto"/>
              <w:right w:val="single" w:sz="4" w:space="0" w:color="auto"/>
            </w:tcBorders>
            <w:hideMark/>
          </w:tcPr>
          <w:p w14:paraId="17C0ECBD"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Define and describe opportunities and responsibilities of US and Tennessee citizenship including: obeying the law, paying taxes, respecting the rights of others, volunteering, and voting.</w:t>
            </w:r>
          </w:p>
        </w:tc>
      </w:tr>
      <w:tr w:rsidR="009F78DE" w:rsidRPr="009F78DE" w14:paraId="662AB9E0" w14:textId="77777777" w:rsidTr="009F78DE">
        <w:trPr>
          <w:trHeight w:val="188"/>
        </w:trPr>
        <w:tc>
          <w:tcPr>
            <w:tcW w:w="2160" w:type="dxa"/>
            <w:tcBorders>
              <w:top w:val="single" w:sz="4" w:space="0" w:color="auto"/>
              <w:left w:val="single" w:sz="4" w:space="0" w:color="auto"/>
              <w:bottom w:val="single" w:sz="4" w:space="0" w:color="auto"/>
              <w:right w:val="single" w:sz="4" w:space="0" w:color="auto"/>
            </w:tcBorders>
            <w:vAlign w:val="center"/>
            <w:hideMark/>
          </w:tcPr>
          <w:p w14:paraId="3AFC8E95" w14:textId="77777777" w:rsidR="009F78DE" w:rsidRPr="009F78DE" w:rsidRDefault="009F78DE" w:rsidP="009F78DE">
            <w:pPr>
              <w:spacing w:line="256" w:lineRule="auto"/>
              <w:rPr>
                <w:rFonts w:eastAsia="Times New Roman" w:cs="Open Sans"/>
                <w:sz w:val="22"/>
              </w:rPr>
            </w:pPr>
            <w:r w:rsidRPr="009F78DE">
              <w:rPr>
                <w:rFonts w:eastAsia="Times New Roman" w:cs="Open Sans"/>
                <w:sz w:val="22"/>
              </w:rPr>
              <w:t>AAD.GC.31</w:t>
            </w:r>
          </w:p>
        </w:tc>
        <w:tc>
          <w:tcPr>
            <w:tcW w:w="7285" w:type="dxa"/>
            <w:tcBorders>
              <w:top w:val="single" w:sz="4" w:space="0" w:color="auto"/>
              <w:left w:val="single" w:sz="4" w:space="0" w:color="auto"/>
              <w:bottom w:val="single" w:sz="4" w:space="0" w:color="auto"/>
              <w:right w:val="single" w:sz="4" w:space="0" w:color="auto"/>
            </w:tcBorders>
            <w:hideMark/>
          </w:tcPr>
          <w:p w14:paraId="05F6BFDA" w14:textId="77777777" w:rsidR="009F78DE" w:rsidRPr="009F78DE" w:rsidRDefault="009F78DE" w:rsidP="00EC5539">
            <w:pPr>
              <w:spacing w:line="256" w:lineRule="auto"/>
              <w:jc w:val="left"/>
              <w:rPr>
                <w:rFonts w:eastAsia="Times New Roman" w:cs="Open Sans"/>
                <w:sz w:val="22"/>
              </w:rPr>
            </w:pPr>
            <w:r w:rsidRPr="009F78DE">
              <w:rPr>
                <w:rFonts w:eastAsia="Times New Roman" w:cs="Open Sans"/>
                <w:sz w:val="22"/>
              </w:rPr>
              <w:t>Describe the opportunities for citizens to participate in the political process including: campaigning, lobbying, demonstrating, and voting.</w:t>
            </w:r>
          </w:p>
        </w:tc>
      </w:tr>
    </w:tbl>
    <w:p w14:paraId="7CA4C11D" w14:textId="77777777" w:rsidR="009F78DE" w:rsidRDefault="009F78DE" w:rsidP="001420A4">
      <w:pPr>
        <w:tabs>
          <w:tab w:val="left" w:pos="1080"/>
          <w:tab w:val="left" w:pos="1440"/>
          <w:tab w:val="left" w:pos="1620"/>
        </w:tabs>
        <w:spacing w:after="0" w:line="240" w:lineRule="auto"/>
        <w:contextualSpacing/>
        <w:rPr>
          <w:rFonts w:ascii="Open Sans" w:hAnsi="Open Sans" w:cs="Open Sans"/>
          <w:sz w:val="20"/>
          <w:szCs w:val="20"/>
        </w:rPr>
      </w:pPr>
    </w:p>
    <w:p w14:paraId="383BF54A" w14:textId="77777777" w:rsidR="000155B4" w:rsidRDefault="000155B4" w:rsidP="001420A4">
      <w:pPr>
        <w:tabs>
          <w:tab w:val="left" w:pos="1080"/>
          <w:tab w:val="left" w:pos="1440"/>
          <w:tab w:val="left" w:pos="1620"/>
        </w:tabs>
        <w:spacing w:after="0" w:line="240" w:lineRule="auto"/>
        <w:contextualSpacing/>
        <w:rPr>
          <w:rFonts w:ascii="Open Sans" w:hAnsi="Open Sans" w:cs="Open Sans"/>
          <w:sz w:val="20"/>
          <w:szCs w:val="20"/>
        </w:rPr>
      </w:pPr>
    </w:p>
    <w:p w14:paraId="2A91DE18" w14:textId="77777777" w:rsidR="007329FE" w:rsidRDefault="007329FE" w:rsidP="007329FE">
      <w:pPr>
        <w:pStyle w:val="Heading1"/>
        <w:tabs>
          <w:tab w:val="center" w:pos="4680"/>
        </w:tabs>
        <w:spacing w:before="0" w:line="240" w:lineRule="auto"/>
        <w:rPr>
          <w:rFonts w:ascii="Open Sans" w:hAnsi="Open Sans" w:cs="Open Sans"/>
          <w:sz w:val="24"/>
          <w:szCs w:val="24"/>
        </w:rPr>
      </w:pPr>
      <w:r>
        <w:rPr>
          <w:rFonts w:ascii="Open Sans" w:hAnsi="Open Sans" w:cs="Open Sans"/>
          <w:sz w:val="24"/>
          <w:szCs w:val="24"/>
        </w:rPr>
        <w:t xml:space="preserve">Course Requirements Numbering Notes </w:t>
      </w:r>
      <w:r>
        <w:rPr>
          <w:rFonts w:ascii="Open Sans" w:hAnsi="Open Sans" w:cs="Open Sans"/>
          <w:sz w:val="24"/>
          <w:szCs w:val="24"/>
        </w:rPr>
        <w:tab/>
      </w:r>
    </w:p>
    <w:p w14:paraId="390203E1" w14:textId="77777777" w:rsidR="007329FE" w:rsidRDefault="007329FE" w:rsidP="007329FE">
      <w:pPr>
        <w:tabs>
          <w:tab w:val="left" w:pos="1080"/>
          <w:tab w:val="left" w:pos="1440"/>
          <w:tab w:val="left" w:pos="1620"/>
        </w:tabs>
        <w:spacing w:after="0" w:line="240" w:lineRule="auto"/>
      </w:pPr>
    </w:p>
    <w:p w14:paraId="1D5B9B51" w14:textId="77777777" w:rsidR="007329FE" w:rsidRDefault="007329FE" w:rsidP="007329FE">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numbering is not exactly parallel to the state standards but is designed to create some consistency across disciplines for the special education teachers who may be teaching multiple subjects.</w:t>
      </w:r>
    </w:p>
    <w:p w14:paraId="5E623E54" w14:textId="77777777" w:rsidR="007329FE" w:rsidRDefault="007329FE" w:rsidP="007329FE">
      <w:pPr>
        <w:tabs>
          <w:tab w:val="left" w:pos="1080"/>
          <w:tab w:val="left" w:pos="1440"/>
          <w:tab w:val="left" w:pos="1620"/>
        </w:tabs>
        <w:spacing w:after="0" w:line="240" w:lineRule="auto"/>
        <w:contextualSpacing/>
        <w:rPr>
          <w:rFonts w:ascii="Open Sans" w:hAnsi="Open Sans" w:cs="Open Sans"/>
          <w:sz w:val="20"/>
          <w:szCs w:val="20"/>
        </w:rPr>
      </w:pPr>
    </w:p>
    <w:p w14:paraId="79FDF66D" w14:textId="77777777" w:rsidR="007329FE" w:rsidRDefault="007329FE" w:rsidP="007329FE">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following system was used to number the social studies course requirements:</w:t>
      </w:r>
    </w:p>
    <w:p w14:paraId="1EE3B29A" w14:textId="77777777" w:rsidR="007329FE" w:rsidRDefault="007329FE" w:rsidP="007329FE">
      <w:pPr>
        <w:tabs>
          <w:tab w:val="left" w:pos="1080"/>
          <w:tab w:val="left" w:pos="1440"/>
          <w:tab w:val="left" w:pos="1620"/>
        </w:tabs>
        <w:spacing w:after="0" w:line="240" w:lineRule="auto"/>
        <w:contextualSpacing/>
        <w:rPr>
          <w:rFonts w:cs="Open Sans"/>
        </w:rPr>
      </w:pPr>
      <w:r>
        <w:rPr>
          <w:rFonts w:cs="Open Sans"/>
        </w:rPr>
        <w:t>AAD.USHG.1</w:t>
      </w:r>
    </w:p>
    <w:p w14:paraId="2047934A" w14:textId="77777777" w:rsidR="007329FE" w:rsidRDefault="007329FE" w:rsidP="007329FE">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Alternate academic diploma (</w:t>
      </w:r>
      <w:r>
        <w:rPr>
          <w:rFonts w:ascii="Open Sans" w:hAnsi="Open Sans" w:cs="Open Sans"/>
          <w:b/>
          <w:sz w:val="20"/>
          <w:szCs w:val="20"/>
        </w:rPr>
        <w:t>AAD</w:t>
      </w:r>
      <w:r>
        <w:rPr>
          <w:rFonts w:ascii="Open Sans" w:hAnsi="Open Sans" w:cs="Open Sans"/>
          <w:sz w:val="20"/>
          <w:szCs w:val="20"/>
        </w:rPr>
        <w:t>) course requirements</w:t>
      </w:r>
    </w:p>
    <w:p w14:paraId="74EA5373" w14:textId="77777777" w:rsidR="007329FE" w:rsidRDefault="007329FE" w:rsidP="007329FE">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United States History and Geography (</w:t>
      </w:r>
      <w:r>
        <w:rPr>
          <w:rFonts w:ascii="Open Sans" w:hAnsi="Open Sans" w:cs="Open Sans"/>
          <w:b/>
          <w:sz w:val="20"/>
          <w:szCs w:val="20"/>
        </w:rPr>
        <w:t>USHG</w:t>
      </w:r>
      <w:r>
        <w:rPr>
          <w:rFonts w:ascii="Open Sans" w:hAnsi="Open Sans" w:cs="Open Sans"/>
          <w:sz w:val="20"/>
          <w:szCs w:val="20"/>
        </w:rPr>
        <w:t>) is the course</w:t>
      </w:r>
    </w:p>
    <w:p w14:paraId="5C904D40" w14:textId="77777777" w:rsidR="007329FE" w:rsidRDefault="007329FE" w:rsidP="007329FE">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b/>
          <w:sz w:val="20"/>
          <w:szCs w:val="20"/>
        </w:rPr>
        <w:t>1</w:t>
      </w:r>
      <w:r>
        <w:rPr>
          <w:rFonts w:ascii="Open Sans" w:hAnsi="Open Sans" w:cs="Open Sans"/>
          <w:sz w:val="20"/>
          <w:szCs w:val="20"/>
        </w:rPr>
        <w:t xml:space="preserve"> is the course requirement number in the core idea (numbered consecutively within each cluster)</w:t>
      </w:r>
    </w:p>
    <w:p w14:paraId="178EB241" w14:textId="77777777"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58592068" w14:textId="0B90652A"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3B7B2B2C" w14:textId="77777777"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6F3DE7AE" w14:textId="77777777" w:rsidR="000155B4" w:rsidRPr="00096EEC" w:rsidRDefault="000155B4" w:rsidP="001420A4">
      <w:pPr>
        <w:tabs>
          <w:tab w:val="left" w:pos="1080"/>
          <w:tab w:val="left" w:pos="1440"/>
          <w:tab w:val="left" w:pos="1620"/>
        </w:tabs>
        <w:spacing w:after="0" w:line="240" w:lineRule="auto"/>
        <w:contextualSpacing/>
        <w:rPr>
          <w:rFonts w:ascii="Open Sans" w:hAnsi="Open Sans" w:cs="Open Sans"/>
          <w:sz w:val="20"/>
          <w:szCs w:val="20"/>
        </w:rPr>
      </w:pPr>
    </w:p>
    <w:sectPr w:rsidR="000155B4" w:rsidRPr="00096EEC" w:rsidSect="00076150">
      <w:head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8D3F8" w14:textId="77777777" w:rsidR="000A246F" w:rsidRDefault="000A246F" w:rsidP="00785FF0">
      <w:pPr>
        <w:spacing w:after="0" w:line="240" w:lineRule="auto"/>
      </w:pPr>
      <w:r>
        <w:separator/>
      </w:r>
    </w:p>
  </w:endnote>
  <w:endnote w:type="continuationSeparator" w:id="0">
    <w:p w14:paraId="5A1D975C" w14:textId="77777777" w:rsidR="000A246F" w:rsidRDefault="000A246F" w:rsidP="0078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panose1 w:val="020B0606030504020204"/>
    <w:charset w:val="00"/>
    <w:family w:val="swiss"/>
    <w:pitch w:val="variable"/>
    <w:sig w:usb0="E00002EF" w:usb1="4000205B" w:usb2="00000028" w:usb3="00000000" w:csb0="0000019F" w:csb1="00000000"/>
  </w:font>
  <w:font w:name="PermianSlabSerifTypeface">
    <w:panose1 w:val="02000000000000000000"/>
    <w:charset w:val="00"/>
    <w:family w:val="modern"/>
    <w:notTrueType/>
    <w:pitch w:val="variable"/>
    <w:sig w:usb0="A000022F" w:usb1="4000A46A" w:usb2="00000000" w:usb3="00000000" w:csb0="0000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122176"/>
      <w:docPartObj>
        <w:docPartGallery w:val="Page Numbers (Bottom of Page)"/>
        <w:docPartUnique/>
      </w:docPartObj>
    </w:sdtPr>
    <w:sdtEndPr>
      <w:rPr>
        <w:noProof/>
      </w:rPr>
    </w:sdtEndPr>
    <w:sdtContent>
      <w:p w14:paraId="63B3B784" w14:textId="52572D69" w:rsidR="00EC5539" w:rsidRDefault="00EC5539">
        <w:pPr>
          <w:pStyle w:val="Footer"/>
          <w:jc w:val="right"/>
        </w:pPr>
        <w:r>
          <w:fldChar w:fldCharType="begin"/>
        </w:r>
        <w:r>
          <w:instrText xml:space="preserve"> PAGE   \* MERGEFORMAT </w:instrText>
        </w:r>
        <w:r>
          <w:fldChar w:fldCharType="separate"/>
        </w:r>
        <w:r w:rsidR="00B1219D">
          <w:rPr>
            <w:noProof/>
          </w:rPr>
          <w:t>1</w:t>
        </w:r>
        <w:r>
          <w:rPr>
            <w:noProof/>
          </w:rPr>
          <w:fldChar w:fldCharType="end"/>
        </w:r>
      </w:p>
    </w:sdtContent>
  </w:sdt>
  <w:p w14:paraId="16AD4B1A" w14:textId="77777777" w:rsidR="00EC5539" w:rsidRDefault="00EC55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1EB04" w14:textId="77777777" w:rsidR="000A246F" w:rsidRDefault="000A246F" w:rsidP="00785FF0">
      <w:pPr>
        <w:spacing w:after="0" w:line="240" w:lineRule="auto"/>
      </w:pPr>
      <w:r>
        <w:separator/>
      </w:r>
    </w:p>
  </w:footnote>
  <w:footnote w:type="continuationSeparator" w:id="0">
    <w:p w14:paraId="3F5E3B1F" w14:textId="77777777" w:rsidR="000A246F" w:rsidRDefault="000A246F" w:rsidP="00785F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B5102" w14:textId="147629A3" w:rsidR="00C06CCE" w:rsidRDefault="00C06CCE" w:rsidP="00C06CC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642BB" w14:textId="6CA530EC" w:rsidR="00076150" w:rsidRPr="00EC5539" w:rsidRDefault="00EC5539" w:rsidP="00EC5539">
    <w:pPr>
      <w:pStyle w:val="Header"/>
    </w:pPr>
    <w:r w:rsidRPr="00EC5539">
      <w:rPr>
        <w:noProof/>
      </w:rPr>
      <w:drawing>
        <wp:inline distT="0" distB="0" distL="0" distR="0" wp14:anchorId="27A2D7E9" wp14:editId="11C0165A">
          <wp:extent cx="1610941" cy="640080"/>
          <wp:effectExtent l="0" t="0" r="8890" b="7620"/>
          <wp:docPr id="2" name="Picture 2" descr="TDOE 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OE primar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941"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74A47"/>
    <w:multiLevelType w:val="hybridMultilevel"/>
    <w:tmpl w:val="8FD4502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AA211A5"/>
    <w:multiLevelType w:val="hybridMultilevel"/>
    <w:tmpl w:val="A7D2979A"/>
    <w:lvl w:ilvl="0" w:tplc="78781738">
      <w:start w:val="1"/>
      <w:numFmt w:val="decimal"/>
      <w:lvlText w:val="%1)"/>
      <w:lvlJc w:val="left"/>
      <w:pPr>
        <w:ind w:left="720" w:hanging="360"/>
      </w:pPr>
      <w:rPr>
        <w:b w:val="0"/>
        <w:color w:val="auto"/>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 w15:restartNumberingAfterBreak="0">
    <w:nsid w:val="0B9211DA"/>
    <w:multiLevelType w:val="hybridMultilevel"/>
    <w:tmpl w:val="B114C8EE"/>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 w15:restartNumberingAfterBreak="0">
    <w:nsid w:val="0C2E775E"/>
    <w:multiLevelType w:val="hybridMultilevel"/>
    <w:tmpl w:val="4BA44E9A"/>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95507D"/>
    <w:multiLevelType w:val="hybridMultilevel"/>
    <w:tmpl w:val="27983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46F54"/>
    <w:multiLevelType w:val="hybridMultilevel"/>
    <w:tmpl w:val="C20490D6"/>
    <w:lvl w:ilvl="0" w:tplc="04090019">
      <w:start w:val="1"/>
      <w:numFmt w:val="lowerLetter"/>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2102F07"/>
    <w:multiLevelType w:val="hybridMultilevel"/>
    <w:tmpl w:val="AA924DEC"/>
    <w:lvl w:ilvl="0" w:tplc="04090019">
      <w:start w:val="1"/>
      <w:numFmt w:val="lowerLetter"/>
      <w:lvlText w:val="%1."/>
      <w:lvlJc w:val="left"/>
      <w:pPr>
        <w:ind w:left="1636" w:hanging="360"/>
      </w:pPr>
      <w:rPr>
        <w:b w:val="0"/>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141D4C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5D5DFB"/>
    <w:multiLevelType w:val="hybridMultilevel"/>
    <w:tmpl w:val="6CEC3A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E790B"/>
    <w:multiLevelType w:val="hybridMultilevel"/>
    <w:tmpl w:val="FFF2792C"/>
    <w:lvl w:ilvl="0" w:tplc="04090019">
      <w:start w:val="1"/>
      <w:numFmt w:val="low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0" w15:restartNumberingAfterBreak="0">
    <w:nsid w:val="198F49C1"/>
    <w:multiLevelType w:val="hybridMultilevel"/>
    <w:tmpl w:val="5B789E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B984699"/>
    <w:multiLevelType w:val="hybridMultilevel"/>
    <w:tmpl w:val="21EA905C"/>
    <w:lvl w:ilvl="0" w:tplc="374CD1EC">
      <w:start w:val="1"/>
      <w:numFmt w:val="decimal"/>
      <w:lvlText w:val="%1)"/>
      <w:lvlJc w:val="left"/>
      <w:pPr>
        <w:ind w:left="720" w:hanging="360"/>
      </w:pPr>
      <w:rPr>
        <w:rFonts w:ascii="Calibri" w:eastAsia="Times New Roman"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5537F"/>
    <w:multiLevelType w:val="hybridMultilevel"/>
    <w:tmpl w:val="235256C0"/>
    <w:lvl w:ilvl="0" w:tplc="04090019">
      <w:start w:val="1"/>
      <w:numFmt w:val="lowerLetter"/>
      <w:lvlText w:val="%1."/>
      <w:lvlJc w:val="left"/>
      <w:pPr>
        <w:ind w:left="3600" w:hanging="360"/>
      </w:pPr>
      <w:rPr>
        <w:rFont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2B231C9"/>
    <w:multiLevelType w:val="hybridMultilevel"/>
    <w:tmpl w:val="317859B6"/>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4" w15:restartNumberingAfterBreak="0">
    <w:nsid w:val="23D14B7F"/>
    <w:multiLevelType w:val="hybridMultilevel"/>
    <w:tmpl w:val="F6688AC6"/>
    <w:lvl w:ilvl="0" w:tplc="41CC91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84A6435"/>
    <w:multiLevelType w:val="hybridMultilevel"/>
    <w:tmpl w:val="CB064F3E"/>
    <w:lvl w:ilvl="0" w:tplc="0409000F">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44839"/>
    <w:multiLevelType w:val="multilevel"/>
    <w:tmpl w:val="12F49D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854E01"/>
    <w:multiLevelType w:val="hybridMultilevel"/>
    <w:tmpl w:val="A68839C8"/>
    <w:lvl w:ilvl="0" w:tplc="112880B4">
      <w:start w:val="1"/>
      <w:numFmt w:val="decimal"/>
      <w:lvlText w:val="%1."/>
      <w:lvlJc w:val="left"/>
      <w:pPr>
        <w:ind w:left="720" w:hanging="360"/>
      </w:pPr>
      <w:rPr>
        <w:rFonts w:ascii="Calibri" w:hAnsi="Calibri" w:cs="Calibri"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A3E48"/>
    <w:multiLevelType w:val="multilevel"/>
    <w:tmpl w:val="26E231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77246EA"/>
    <w:multiLevelType w:val="hybridMultilevel"/>
    <w:tmpl w:val="885E0C5C"/>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E35B09"/>
    <w:multiLevelType w:val="hybridMultilevel"/>
    <w:tmpl w:val="427E6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3B2E84"/>
    <w:multiLevelType w:val="hybridMultilevel"/>
    <w:tmpl w:val="10B67A48"/>
    <w:lvl w:ilvl="0" w:tplc="47747B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6E4B4B"/>
    <w:multiLevelType w:val="hybridMultilevel"/>
    <w:tmpl w:val="813C4FC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13E19"/>
    <w:multiLevelType w:val="hybridMultilevel"/>
    <w:tmpl w:val="CAEAF9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314EF"/>
    <w:multiLevelType w:val="hybridMultilevel"/>
    <w:tmpl w:val="9436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866F49"/>
    <w:multiLevelType w:val="hybridMultilevel"/>
    <w:tmpl w:val="8B6E8A56"/>
    <w:lvl w:ilvl="0" w:tplc="D402C76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14459"/>
    <w:multiLevelType w:val="hybridMultilevel"/>
    <w:tmpl w:val="AE801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CD7DA4"/>
    <w:multiLevelType w:val="hybridMultilevel"/>
    <w:tmpl w:val="B7C22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DB0529"/>
    <w:multiLevelType w:val="hybridMultilevel"/>
    <w:tmpl w:val="4868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B6444"/>
    <w:multiLevelType w:val="multilevel"/>
    <w:tmpl w:val="C6068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C534E6"/>
    <w:multiLevelType w:val="hybridMultilevel"/>
    <w:tmpl w:val="0258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0323F"/>
    <w:multiLevelType w:val="hybridMultilevel"/>
    <w:tmpl w:val="BB88F5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5D590F"/>
    <w:multiLevelType w:val="hybridMultilevel"/>
    <w:tmpl w:val="2AECF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085E78"/>
    <w:multiLevelType w:val="hybridMultilevel"/>
    <w:tmpl w:val="9F32DFFE"/>
    <w:lvl w:ilvl="0" w:tplc="04090011">
      <w:start w:val="1"/>
      <w:numFmt w:val="decimal"/>
      <w:lvlText w:val="%1)"/>
      <w:lvlJc w:val="left"/>
      <w:pPr>
        <w:ind w:left="1080" w:hanging="360"/>
      </w:pPr>
    </w:lvl>
    <w:lvl w:ilvl="1" w:tplc="D15086E0">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5A0E95"/>
    <w:multiLevelType w:val="multilevel"/>
    <w:tmpl w:val="33EE835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F6A0570"/>
    <w:multiLevelType w:val="hybridMultilevel"/>
    <w:tmpl w:val="DA8843A4"/>
    <w:lvl w:ilvl="0" w:tplc="04090011">
      <w:start w:val="1"/>
      <w:numFmt w:val="decimal"/>
      <w:lvlText w:val="%1)"/>
      <w:lvlJc w:val="left"/>
      <w:pPr>
        <w:ind w:left="916"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6" w15:restartNumberingAfterBreak="0">
    <w:nsid w:val="7C9951B7"/>
    <w:multiLevelType w:val="hybridMultilevel"/>
    <w:tmpl w:val="B5E0EB6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6"/>
  </w:num>
  <w:num w:numId="4">
    <w:abstractNumId w:val="29"/>
  </w:num>
  <w:num w:numId="5">
    <w:abstractNumId w:val="25"/>
  </w:num>
  <w:num w:numId="6">
    <w:abstractNumId w:val="18"/>
  </w:num>
  <w:num w:numId="7">
    <w:abstractNumId w:val="28"/>
  </w:num>
  <w:num w:numId="8">
    <w:abstractNumId w:val="22"/>
  </w:num>
  <w:num w:numId="9">
    <w:abstractNumId w:val="12"/>
  </w:num>
  <w:num w:numId="10">
    <w:abstractNumId w:val="36"/>
  </w:num>
  <w:num w:numId="11">
    <w:abstractNumId w:val="11"/>
  </w:num>
  <w:num w:numId="12">
    <w:abstractNumId w:val="8"/>
  </w:num>
  <w:num w:numId="13">
    <w:abstractNumId w:val="9"/>
  </w:num>
  <w:num w:numId="14">
    <w:abstractNumId w:val="21"/>
  </w:num>
  <w:num w:numId="15">
    <w:abstractNumId w:val="27"/>
  </w:num>
  <w:num w:numId="16">
    <w:abstractNumId w:val="24"/>
  </w:num>
  <w:num w:numId="17">
    <w:abstractNumId w:val="14"/>
  </w:num>
  <w:num w:numId="18">
    <w:abstractNumId w:val="17"/>
  </w:num>
  <w:num w:numId="19">
    <w:abstractNumId w:val="33"/>
  </w:num>
  <w:num w:numId="20">
    <w:abstractNumId w:val="19"/>
  </w:num>
  <w:num w:numId="21">
    <w:abstractNumId w:val="3"/>
  </w:num>
  <w:num w:numId="22">
    <w:abstractNumId w:val="32"/>
  </w:num>
  <w:num w:numId="23">
    <w:abstractNumId w:val="34"/>
  </w:num>
  <w:num w:numId="24">
    <w:abstractNumId w:val="23"/>
  </w:num>
  <w:num w:numId="25">
    <w:abstractNumId w:val="10"/>
  </w:num>
  <w:num w:numId="26">
    <w:abstractNumId w:val="0"/>
  </w:num>
  <w:num w:numId="27">
    <w:abstractNumId w:val="26"/>
  </w:num>
  <w:num w:numId="28">
    <w:abstractNumId w:val="15"/>
  </w:num>
  <w:num w:numId="29">
    <w:abstractNumId w:val="1"/>
  </w:num>
  <w:num w:numId="30">
    <w:abstractNumId w:val="35"/>
  </w:num>
  <w:num w:numId="31">
    <w:abstractNumId w:val="5"/>
  </w:num>
  <w:num w:numId="32">
    <w:abstractNumId w:val="31"/>
  </w:num>
  <w:num w:numId="33">
    <w:abstractNumId w:val="6"/>
  </w:num>
  <w:num w:numId="34">
    <w:abstractNumId w:val="2"/>
  </w:num>
  <w:num w:numId="35">
    <w:abstractNumId w:val="13"/>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KXFgTNMJibXOVgNCzvbrcIbGMO9JQHRmPg4T6N+Bnl/NRiDzBI9SuColLzHy30UCBxI8AroXT2YH+0yOoGvl/g==" w:salt="QP30bsJIC/tZI38wWO7ft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F0"/>
    <w:rsid w:val="000155B4"/>
    <w:rsid w:val="00023084"/>
    <w:rsid w:val="00032A82"/>
    <w:rsid w:val="00033DED"/>
    <w:rsid w:val="000423C8"/>
    <w:rsid w:val="00043453"/>
    <w:rsid w:val="00050B3E"/>
    <w:rsid w:val="00057516"/>
    <w:rsid w:val="00076150"/>
    <w:rsid w:val="00080A0A"/>
    <w:rsid w:val="000838F9"/>
    <w:rsid w:val="00084DB7"/>
    <w:rsid w:val="00096EEC"/>
    <w:rsid w:val="000A246F"/>
    <w:rsid w:val="000A464D"/>
    <w:rsid w:val="000C418E"/>
    <w:rsid w:val="000C545C"/>
    <w:rsid w:val="000E0BDF"/>
    <w:rsid w:val="00110DFF"/>
    <w:rsid w:val="001118B7"/>
    <w:rsid w:val="001149F9"/>
    <w:rsid w:val="001314F0"/>
    <w:rsid w:val="00135727"/>
    <w:rsid w:val="00135F99"/>
    <w:rsid w:val="001420A4"/>
    <w:rsid w:val="0015283C"/>
    <w:rsid w:val="001707CF"/>
    <w:rsid w:val="00171998"/>
    <w:rsid w:val="00182E48"/>
    <w:rsid w:val="001936DE"/>
    <w:rsid w:val="00195DD6"/>
    <w:rsid w:val="001C31AC"/>
    <w:rsid w:val="001D3FED"/>
    <w:rsid w:val="001D50B9"/>
    <w:rsid w:val="001E1BA9"/>
    <w:rsid w:val="001E671C"/>
    <w:rsid w:val="00230E10"/>
    <w:rsid w:val="00233F93"/>
    <w:rsid w:val="0024136C"/>
    <w:rsid w:val="00241E33"/>
    <w:rsid w:val="002744E1"/>
    <w:rsid w:val="002819FA"/>
    <w:rsid w:val="00290024"/>
    <w:rsid w:val="002940A4"/>
    <w:rsid w:val="0029776A"/>
    <w:rsid w:val="002A2517"/>
    <w:rsid w:val="002A6598"/>
    <w:rsid w:val="002B2EBA"/>
    <w:rsid w:val="002D4977"/>
    <w:rsid w:val="002D523C"/>
    <w:rsid w:val="002E465C"/>
    <w:rsid w:val="002F5ADB"/>
    <w:rsid w:val="00341EA6"/>
    <w:rsid w:val="00345642"/>
    <w:rsid w:val="00347243"/>
    <w:rsid w:val="00355D4E"/>
    <w:rsid w:val="0037347A"/>
    <w:rsid w:val="00387649"/>
    <w:rsid w:val="003934D0"/>
    <w:rsid w:val="00393DF9"/>
    <w:rsid w:val="00397B03"/>
    <w:rsid w:val="003A214E"/>
    <w:rsid w:val="003C2E7D"/>
    <w:rsid w:val="003C7DAF"/>
    <w:rsid w:val="003D0624"/>
    <w:rsid w:val="003D555E"/>
    <w:rsid w:val="003E6EB2"/>
    <w:rsid w:val="003F267D"/>
    <w:rsid w:val="003F7736"/>
    <w:rsid w:val="00405697"/>
    <w:rsid w:val="0042457F"/>
    <w:rsid w:val="0043335C"/>
    <w:rsid w:val="004438F3"/>
    <w:rsid w:val="00447876"/>
    <w:rsid w:val="00465291"/>
    <w:rsid w:val="00465CA2"/>
    <w:rsid w:val="00480AF1"/>
    <w:rsid w:val="00492C71"/>
    <w:rsid w:val="004B1199"/>
    <w:rsid w:val="004B231F"/>
    <w:rsid w:val="004B6198"/>
    <w:rsid w:val="004C0076"/>
    <w:rsid w:val="004C2F02"/>
    <w:rsid w:val="004C58C6"/>
    <w:rsid w:val="004C79A3"/>
    <w:rsid w:val="004D4C83"/>
    <w:rsid w:val="004D520C"/>
    <w:rsid w:val="004F6C0D"/>
    <w:rsid w:val="00503B9E"/>
    <w:rsid w:val="00505CFE"/>
    <w:rsid w:val="00532D9B"/>
    <w:rsid w:val="005412FA"/>
    <w:rsid w:val="00547D12"/>
    <w:rsid w:val="005574D3"/>
    <w:rsid w:val="00562292"/>
    <w:rsid w:val="0057776F"/>
    <w:rsid w:val="00585208"/>
    <w:rsid w:val="005B7377"/>
    <w:rsid w:val="005C137E"/>
    <w:rsid w:val="005D22A4"/>
    <w:rsid w:val="005E117F"/>
    <w:rsid w:val="005F5AEA"/>
    <w:rsid w:val="005F6F6F"/>
    <w:rsid w:val="00620E88"/>
    <w:rsid w:val="00624728"/>
    <w:rsid w:val="00626EBE"/>
    <w:rsid w:val="00635C25"/>
    <w:rsid w:val="00641971"/>
    <w:rsid w:val="006506B3"/>
    <w:rsid w:val="00655E9D"/>
    <w:rsid w:val="00663FF6"/>
    <w:rsid w:val="00675232"/>
    <w:rsid w:val="00682A0E"/>
    <w:rsid w:val="00682ABD"/>
    <w:rsid w:val="006971F5"/>
    <w:rsid w:val="006A3FDD"/>
    <w:rsid w:val="006A5432"/>
    <w:rsid w:val="006A5798"/>
    <w:rsid w:val="006A7CD0"/>
    <w:rsid w:val="006B0234"/>
    <w:rsid w:val="006C21BF"/>
    <w:rsid w:val="006E3041"/>
    <w:rsid w:val="0071200C"/>
    <w:rsid w:val="00712712"/>
    <w:rsid w:val="00720922"/>
    <w:rsid w:val="007329FE"/>
    <w:rsid w:val="007475EB"/>
    <w:rsid w:val="00755CA7"/>
    <w:rsid w:val="00766C44"/>
    <w:rsid w:val="00773189"/>
    <w:rsid w:val="00773247"/>
    <w:rsid w:val="00785FF0"/>
    <w:rsid w:val="007A2F7F"/>
    <w:rsid w:val="007A7485"/>
    <w:rsid w:val="007A7B42"/>
    <w:rsid w:val="007B6F55"/>
    <w:rsid w:val="007C16B8"/>
    <w:rsid w:val="007D1902"/>
    <w:rsid w:val="007D5663"/>
    <w:rsid w:val="007D5831"/>
    <w:rsid w:val="007E18CA"/>
    <w:rsid w:val="007E19A6"/>
    <w:rsid w:val="007E761A"/>
    <w:rsid w:val="007F478D"/>
    <w:rsid w:val="00802A47"/>
    <w:rsid w:val="00807CBF"/>
    <w:rsid w:val="00825BD6"/>
    <w:rsid w:val="00856AC9"/>
    <w:rsid w:val="008610A0"/>
    <w:rsid w:val="00865DB3"/>
    <w:rsid w:val="00867DDF"/>
    <w:rsid w:val="008735E5"/>
    <w:rsid w:val="00874472"/>
    <w:rsid w:val="0089262D"/>
    <w:rsid w:val="008A64BF"/>
    <w:rsid w:val="008B0A54"/>
    <w:rsid w:val="008B7DF1"/>
    <w:rsid w:val="008E030B"/>
    <w:rsid w:val="008E1020"/>
    <w:rsid w:val="008E2AA2"/>
    <w:rsid w:val="008F42C5"/>
    <w:rsid w:val="008F7982"/>
    <w:rsid w:val="00900F9C"/>
    <w:rsid w:val="009240A3"/>
    <w:rsid w:val="00933BA9"/>
    <w:rsid w:val="00941AE9"/>
    <w:rsid w:val="009507F8"/>
    <w:rsid w:val="009564B3"/>
    <w:rsid w:val="009861BB"/>
    <w:rsid w:val="00990B86"/>
    <w:rsid w:val="009E5F20"/>
    <w:rsid w:val="009F1D85"/>
    <w:rsid w:val="009F58AC"/>
    <w:rsid w:val="009F78DE"/>
    <w:rsid w:val="00A00292"/>
    <w:rsid w:val="00A0410D"/>
    <w:rsid w:val="00A04DD2"/>
    <w:rsid w:val="00A13C74"/>
    <w:rsid w:val="00A24E25"/>
    <w:rsid w:val="00A274C8"/>
    <w:rsid w:val="00A32945"/>
    <w:rsid w:val="00A4325A"/>
    <w:rsid w:val="00A441D1"/>
    <w:rsid w:val="00A56128"/>
    <w:rsid w:val="00A66FCE"/>
    <w:rsid w:val="00A71668"/>
    <w:rsid w:val="00A82772"/>
    <w:rsid w:val="00A92503"/>
    <w:rsid w:val="00A97126"/>
    <w:rsid w:val="00AB135D"/>
    <w:rsid w:val="00AB4C40"/>
    <w:rsid w:val="00AC72B4"/>
    <w:rsid w:val="00AD465B"/>
    <w:rsid w:val="00AD5F67"/>
    <w:rsid w:val="00AE2CA2"/>
    <w:rsid w:val="00B1219D"/>
    <w:rsid w:val="00B14EDE"/>
    <w:rsid w:val="00B16C0F"/>
    <w:rsid w:val="00B346B4"/>
    <w:rsid w:val="00B41342"/>
    <w:rsid w:val="00B467DE"/>
    <w:rsid w:val="00B561BC"/>
    <w:rsid w:val="00B67C7A"/>
    <w:rsid w:val="00B74E78"/>
    <w:rsid w:val="00B766F1"/>
    <w:rsid w:val="00B77992"/>
    <w:rsid w:val="00B83355"/>
    <w:rsid w:val="00B83358"/>
    <w:rsid w:val="00BA17E4"/>
    <w:rsid w:val="00BB0C29"/>
    <w:rsid w:val="00BB4C4D"/>
    <w:rsid w:val="00BB6DC5"/>
    <w:rsid w:val="00BC12CE"/>
    <w:rsid w:val="00BC592D"/>
    <w:rsid w:val="00BC75DA"/>
    <w:rsid w:val="00BE78C7"/>
    <w:rsid w:val="00BE78F3"/>
    <w:rsid w:val="00C0270D"/>
    <w:rsid w:val="00C06CCE"/>
    <w:rsid w:val="00C22CE8"/>
    <w:rsid w:val="00C24CEB"/>
    <w:rsid w:val="00C31E61"/>
    <w:rsid w:val="00C338FF"/>
    <w:rsid w:val="00C36840"/>
    <w:rsid w:val="00C44AAB"/>
    <w:rsid w:val="00C50A38"/>
    <w:rsid w:val="00C61F08"/>
    <w:rsid w:val="00C65EA5"/>
    <w:rsid w:val="00C71BB4"/>
    <w:rsid w:val="00C759C6"/>
    <w:rsid w:val="00C91DE7"/>
    <w:rsid w:val="00CC5BE7"/>
    <w:rsid w:val="00CE53C1"/>
    <w:rsid w:val="00CF188E"/>
    <w:rsid w:val="00D01615"/>
    <w:rsid w:val="00D36086"/>
    <w:rsid w:val="00D55500"/>
    <w:rsid w:val="00D80968"/>
    <w:rsid w:val="00D8475B"/>
    <w:rsid w:val="00D96D9A"/>
    <w:rsid w:val="00DA0D98"/>
    <w:rsid w:val="00DD0D01"/>
    <w:rsid w:val="00DD43DC"/>
    <w:rsid w:val="00DD5F0F"/>
    <w:rsid w:val="00DE21B4"/>
    <w:rsid w:val="00DF107F"/>
    <w:rsid w:val="00DF5666"/>
    <w:rsid w:val="00E016AF"/>
    <w:rsid w:val="00E03A3E"/>
    <w:rsid w:val="00E13759"/>
    <w:rsid w:val="00E147A8"/>
    <w:rsid w:val="00E14BE7"/>
    <w:rsid w:val="00E172B8"/>
    <w:rsid w:val="00E26D54"/>
    <w:rsid w:val="00E401AF"/>
    <w:rsid w:val="00E7252F"/>
    <w:rsid w:val="00E744CB"/>
    <w:rsid w:val="00E7606C"/>
    <w:rsid w:val="00E8236B"/>
    <w:rsid w:val="00E919DB"/>
    <w:rsid w:val="00E94D48"/>
    <w:rsid w:val="00E97A00"/>
    <w:rsid w:val="00EB59E8"/>
    <w:rsid w:val="00EC5539"/>
    <w:rsid w:val="00ED672B"/>
    <w:rsid w:val="00EF5B80"/>
    <w:rsid w:val="00F01CE1"/>
    <w:rsid w:val="00F03F35"/>
    <w:rsid w:val="00F04C6C"/>
    <w:rsid w:val="00F24A0D"/>
    <w:rsid w:val="00F36145"/>
    <w:rsid w:val="00F36451"/>
    <w:rsid w:val="00F47A75"/>
    <w:rsid w:val="00F510E4"/>
    <w:rsid w:val="00F561DF"/>
    <w:rsid w:val="00F57032"/>
    <w:rsid w:val="00F67226"/>
    <w:rsid w:val="00F852A8"/>
    <w:rsid w:val="00FA4AD0"/>
    <w:rsid w:val="00FC12F1"/>
    <w:rsid w:val="00FC60DE"/>
    <w:rsid w:val="00FD09F3"/>
    <w:rsid w:val="00FD1519"/>
    <w:rsid w:val="00FD1699"/>
    <w:rsid w:val="00FD239E"/>
    <w:rsid w:val="00FD24BF"/>
    <w:rsid w:val="00FE3440"/>
    <w:rsid w:val="00FF22DC"/>
    <w:rsid w:val="00FF3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85CCC"/>
  <w15:docId w15:val="{2D360978-7F95-4A42-ADD8-B3164B283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34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34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5F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4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7347A"/>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785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FF0"/>
  </w:style>
  <w:style w:type="paragraph" w:styleId="Footer">
    <w:name w:val="footer"/>
    <w:basedOn w:val="Normal"/>
    <w:link w:val="FooterChar"/>
    <w:uiPriority w:val="99"/>
    <w:unhideWhenUsed/>
    <w:rsid w:val="00785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FF0"/>
  </w:style>
  <w:style w:type="paragraph" w:styleId="BalloonText">
    <w:name w:val="Balloon Text"/>
    <w:basedOn w:val="Normal"/>
    <w:link w:val="BalloonTextChar"/>
    <w:uiPriority w:val="99"/>
    <w:semiHidden/>
    <w:unhideWhenUsed/>
    <w:rsid w:val="00785F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FF0"/>
    <w:rPr>
      <w:rFonts w:ascii="Tahoma" w:hAnsi="Tahoma" w:cs="Tahoma"/>
      <w:sz w:val="16"/>
      <w:szCs w:val="16"/>
    </w:rPr>
  </w:style>
  <w:style w:type="paragraph" w:styleId="Title">
    <w:name w:val="Title"/>
    <w:basedOn w:val="Normal"/>
    <w:next w:val="Normal"/>
    <w:link w:val="TitleChar"/>
    <w:uiPriority w:val="10"/>
    <w:qFormat/>
    <w:rsid w:val="00785F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5FF0"/>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785FF0"/>
    <w:rPr>
      <w:rFonts w:asciiTheme="majorHAnsi" w:eastAsiaTheme="majorEastAsia" w:hAnsiTheme="majorHAnsi" w:cstheme="majorBidi"/>
      <w:b/>
      <w:bCs/>
      <w:color w:val="4F81BD" w:themeColor="accent1"/>
    </w:rPr>
  </w:style>
  <w:style w:type="table" w:styleId="TableGrid">
    <w:name w:val="Table Grid"/>
    <w:basedOn w:val="TableNormal"/>
    <w:uiPriority w:val="59"/>
    <w:rsid w:val="00785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9"/>
    <w:rsid w:val="00785FF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Shading-Accent3">
    <w:name w:val="Colorful Shading Accent 3"/>
    <w:basedOn w:val="TableNormal"/>
    <w:uiPriority w:val="71"/>
    <w:rsid w:val="00785FF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ListParagraph">
    <w:name w:val="List Paragraph"/>
    <w:basedOn w:val="Normal"/>
    <w:uiPriority w:val="34"/>
    <w:qFormat/>
    <w:rsid w:val="007F478D"/>
    <w:pPr>
      <w:ind w:left="720"/>
      <w:contextualSpacing/>
    </w:pPr>
  </w:style>
  <w:style w:type="table" w:styleId="ColorfulShading-Accent5">
    <w:name w:val="Colorful Shading Accent 5"/>
    <w:basedOn w:val="TableNormal"/>
    <w:uiPriority w:val="71"/>
    <w:rsid w:val="00C06CCE"/>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Grid-Accent1">
    <w:name w:val="Colorful Grid Accent 1"/>
    <w:basedOn w:val="TableNormal"/>
    <w:uiPriority w:val="73"/>
    <w:rsid w:val="00C06CC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C36840"/>
    <w:rPr>
      <w:color w:val="0000FF" w:themeColor="hyperlink"/>
      <w:u w:val="single"/>
    </w:rPr>
  </w:style>
  <w:style w:type="character" w:styleId="CommentReference">
    <w:name w:val="annotation reference"/>
    <w:basedOn w:val="DefaultParagraphFont"/>
    <w:uiPriority w:val="99"/>
    <w:semiHidden/>
    <w:unhideWhenUsed/>
    <w:rsid w:val="00E94D48"/>
    <w:rPr>
      <w:sz w:val="16"/>
      <w:szCs w:val="16"/>
    </w:rPr>
  </w:style>
  <w:style w:type="paragraph" w:styleId="CommentText">
    <w:name w:val="annotation text"/>
    <w:basedOn w:val="Normal"/>
    <w:link w:val="CommentTextChar"/>
    <w:uiPriority w:val="99"/>
    <w:semiHidden/>
    <w:unhideWhenUsed/>
    <w:rsid w:val="00E94D48"/>
    <w:pPr>
      <w:spacing w:line="240" w:lineRule="auto"/>
    </w:pPr>
    <w:rPr>
      <w:sz w:val="20"/>
      <w:szCs w:val="20"/>
    </w:rPr>
  </w:style>
  <w:style w:type="character" w:customStyle="1" w:styleId="CommentTextChar">
    <w:name w:val="Comment Text Char"/>
    <w:basedOn w:val="DefaultParagraphFont"/>
    <w:link w:val="CommentText"/>
    <w:uiPriority w:val="99"/>
    <w:semiHidden/>
    <w:rsid w:val="00E94D48"/>
    <w:rPr>
      <w:sz w:val="20"/>
      <w:szCs w:val="20"/>
    </w:rPr>
  </w:style>
  <w:style w:type="paragraph" w:styleId="CommentSubject">
    <w:name w:val="annotation subject"/>
    <w:basedOn w:val="CommentText"/>
    <w:next w:val="CommentText"/>
    <w:link w:val="CommentSubjectChar"/>
    <w:uiPriority w:val="99"/>
    <w:semiHidden/>
    <w:unhideWhenUsed/>
    <w:rsid w:val="00E94D48"/>
    <w:rPr>
      <w:b/>
      <w:bCs/>
    </w:rPr>
  </w:style>
  <w:style w:type="character" w:customStyle="1" w:styleId="CommentSubjectChar">
    <w:name w:val="Comment Subject Char"/>
    <w:basedOn w:val="CommentTextChar"/>
    <w:link w:val="CommentSubject"/>
    <w:uiPriority w:val="99"/>
    <w:semiHidden/>
    <w:rsid w:val="00E94D48"/>
    <w:rPr>
      <w:b/>
      <w:bCs/>
      <w:sz w:val="20"/>
      <w:szCs w:val="20"/>
    </w:rPr>
  </w:style>
  <w:style w:type="paragraph" w:customStyle="1" w:styleId="BPBcontent">
    <w:name w:val="BP B content"/>
    <w:basedOn w:val="Normal"/>
    <w:rsid w:val="00E7252F"/>
    <w:pPr>
      <w:tabs>
        <w:tab w:val="right" w:pos="8460"/>
      </w:tabs>
      <w:spacing w:after="160" w:line="240" w:lineRule="auto"/>
    </w:pPr>
    <w:rPr>
      <w:rFonts w:ascii="Arial" w:eastAsia="MS Mincho" w:hAnsi="Arial" w:cs="Arial"/>
      <w:szCs w:val="24"/>
    </w:rPr>
  </w:style>
  <w:style w:type="paragraph" w:customStyle="1" w:styleId="Default">
    <w:name w:val="Default"/>
    <w:rsid w:val="00626EBE"/>
    <w:pPr>
      <w:autoSpaceDE w:val="0"/>
      <w:autoSpaceDN w:val="0"/>
      <w:adjustRightInd w:val="0"/>
      <w:spacing w:after="0" w:line="240" w:lineRule="auto"/>
    </w:pPr>
    <w:rPr>
      <w:rFonts w:ascii="Calibri" w:eastAsiaTheme="minorHAnsi" w:hAnsi="Calibri" w:cs="Calibri"/>
      <w:color w:val="000000"/>
      <w:sz w:val="24"/>
      <w:szCs w:val="24"/>
    </w:rPr>
  </w:style>
  <w:style w:type="character" w:styleId="Strong">
    <w:name w:val="Strong"/>
    <w:basedOn w:val="DefaultParagraphFont"/>
    <w:uiPriority w:val="22"/>
    <w:qFormat/>
    <w:rsid w:val="00033DED"/>
    <w:rPr>
      <w:b/>
      <w:bCs/>
    </w:rPr>
  </w:style>
  <w:style w:type="paragraph" w:styleId="NoSpacing">
    <w:name w:val="No Spacing"/>
    <w:uiPriority w:val="1"/>
    <w:qFormat/>
    <w:rsid w:val="00E016AF"/>
    <w:pPr>
      <w:spacing w:after="0" w:line="240" w:lineRule="auto"/>
    </w:pPr>
  </w:style>
  <w:style w:type="character" w:styleId="FollowedHyperlink">
    <w:name w:val="FollowedHyperlink"/>
    <w:basedOn w:val="DefaultParagraphFont"/>
    <w:uiPriority w:val="99"/>
    <w:semiHidden/>
    <w:unhideWhenUsed/>
    <w:rsid w:val="00900F9C"/>
    <w:rPr>
      <w:color w:val="800080" w:themeColor="followedHyperlink"/>
      <w:u w:val="single"/>
    </w:rPr>
  </w:style>
  <w:style w:type="table" w:customStyle="1" w:styleId="TableGrid1">
    <w:name w:val="Table Grid1"/>
    <w:basedOn w:val="TableNormal"/>
    <w:next w:val="TableGrid"/>
    <w:uiPriority w:val="39"/>
    <w:rsid w:val="001420A4"/>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96D9A"/>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B41342"/>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E8236B"/>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92503"/>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D0D01"/>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9F78DE"/>
    <w:pPr>
      <w:spacing w:after="0" w:line="240" w:lineRule="auto"/>
      <w:jc w:val="center"/>
    </w:pPr>
    <w:rPr>
      <w:rFonts w:ascii="Open Sans" w:eastAsia="Calibri" w:hAnsi="Open Sans" w:cs="Times New Roman"/>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0029">
      <w:bodyDiv w:val="1"/>
      <w:marLeft w:val="0"/>
      <w:marRight w:val="0"/>
      <w:marTop w:val="0"/>
      <w:marBottom w:val="0"/>
      <w:divBdr>
        <w:top w:val="none" w:sz="0" w:space="0" w:color="auto"/>
        <w:left w:val="none" w:sz="0" w:space="0" w:color="auto"/>
        <w:bottom w:val="none" w:sz="0" w:space="0" w:color="auto"/>
        <w:right w:val="none" w:sz="0" w:space="0" w:color="auto"/>
      </w:divBdr>
    </w:div>
    <w:div w:id="64956280">
      <w:bodyDiv w:val="1"/>
      <w:marLeft w:val="0"/>
      <w:marRight w:val="0"/>
      <w:marTop w:val="0"/>
      <w:marBottom w:val="0"/>
      <w:divBdr>
        <w:top w:val="none" w:sz="0" w:space="0" w:color="auto"/>
        <w:left w:val="none" w:sz="0" w:space="0" w:color="auto"/>
        <w:bottom w:val="none" w:sz="0" w:space="0" w:color="auto"/>
        <w:right w:val="none" w:sz="0" w:space="0" w:color="auto"/>
      </w:divBdr>
    </w:div>
    <w:div w:id="341856811">
      <w:bodyDiv w:val="1"/>
      <w:marLeft w:val="0"/>
      <w:marRight w:val="0"/>
      <w:marTop w:val="0"/>
      <w:marBottom w:val="0"/>
      <w:divBdr>
        <w:top w:val="none" w:sz="0" w:space="0" w:color="auto"/>
        <w:left w:val="none" w:sz="0" w:space="0" w:color="auto"/>
        <w:bottom w:val="none" w:sz="0" w:space="0" w:color="auto"/>
        <w:right w:val="none" w:sz="0" w:space="0" w:color="auto"/>
      </w:divBdr>
    </w:div>
    <w:div w:id="675228553">
      <w:bodyDiv w:val="1"/>
      <w:marLeft w:val="0"/>
      <w:marRight w:val="0"/>
      <w:marTop w:val="0"/>
      <w:marBottom w:val="0"/>
      <w:divBdr>
        <w:top w:val="none" w:sz="0" w:space="0" w:color="auto"/>
        <w:left w:val="none" w:sz="0" w:space="0" w:color="auto"/>
        <w:bottom w:val="none" w:sz="0" w:space="0" w:color="auto"/>
        <w:right w:val="none" w:sz="0" w:space="0" w:color="auto"/>
      </w:divBdr>
    </w:div>
    <w:div w:id="764152354">
      <w:bodyDiv w:val="1"/>
      <w:marLeft w:val="0"/>
      <w:marRight w:val="0"/>
      <w:marTop w:val="0"/>
      <w:marBottom w:val="0"/>
      <w:divBdr>
        <w:top w:val="none" w:sz="0" w:space="0" w:color="auto"/>
        <w:left w:val="none" w:sz="0" w:space="0" w:color="auto"/>
        <w:bottom w:val="none" w:sz="0" w:space="0" w:color="auto"/>
        <w:right w:val="none" w:sz="0" w:space="0" w:color="auto"/>
      </w:divBdr>
    </w:div>
    <w:div w:id="767701481">
      <w:bodyDiv w:val="1"/>
      <w:marLeft w:val="0"/>
      <w:marRight w:val="0"/>
      <w:marTop w:val="0"/>
      <w:marBottom w:val="0"/>
      <w:divBdr>
        <w:top w:val="none" w:sz="0" w:space="0" w:color="auto"/>
        <w:left w:val="none" w:sz="0" w:space="0" w:color="auto"/>
        <w:bottom w:val="none" w:sz="0" w:space="0" w:color="auto"/>
        <w:right w:val="none" w:sz="0" w:space="0" w:color="auto"/>
      </w:divBdr>
    </w:div>
    <w:div w:id="891768647">
      <w:bodyDiv w:val="1"/>
      <w:marLeft w:val="0"/>
      <w:marRight w:val="0"/>
      <w:marTop w:val="0"/>
      <w:marBottom w:val="0"/>
      <w:divBdr>
        <w:top w:val="none" w:sz="0" w:space="0" w:color="auto"/>
        <w:left w:val="none" w:sz="0" w:space="0" w:color="auto"/>
        <w:bottom w:val="none" w:sz="0" w:space="0" w:color="auto"/>
        <w:right w:val="none" w:sz="0" w:space="0" w:color="auto"/>
      </w:divBdr>
    </w:div>
    <w:div w:id="1038042280">
      <w:bodyDiv w:val="1"/>
      <w:marLeft w:val="0"/>
      <w:marRight w:val="0"/>
      <w:marTop w:val="0"/>
      <w:marBottom w:val="0"/>
      <w:divBdr>
        <w:top w:val="none" w:sz="0" w:space="0" w:color="auto"/>
        <w:left w:val="none" w:sz="0" w:space="0" w:color="auto"/>
        <w:bottom w:val="none" w:sz="0" w:space="0" w:color="auto"/>
        <w:right w:val="none" w:sz="0" w:space="0" w:color="auto"/>
      </w:divBdr>
    </w:div>
    <w:div w:id="1733889581">
      <w:bodyDiv w:val="1"/>
      <w:marLeft w:val="0"/>
      <w:marRight w:val="0"/>
      <w:marTop w:val="0"/>
      <w:marBottom w:val="0"/>
      <w:divBdr>
        <w:top w:val="none" w:sz="0" w:space="0" w:color="auto"/>
        <w:left w:val="none" w:sz="0" w:space="0" w:color="auto"/>
        <w:bottom w:val="none" w:sz="0" w:space="0" w:color="auto"/>
        <w:right w:val="none" w:sz="0" w:space="0" w:color="auto"/>
      </w:divBdr>
    </w:div>
    <w:div w:id="1775056476">
      <w:bodyDiv w:val="1"/>
      <w:marLeft w:val="0"/>
      <w:marRight w:val="0"/>
      <w:marTop w:val="0"/>
      <w:marBottom w:val="0"/>
      <w:divBdr>
        <w:top w:val="none" w:sz="0" w:space="0" w:color="auto"/>
        <w:left w:val="none" w:sz="0" w:space="0" w:color="auto"/>
        <w:bottom w:val="none" w:sz="0" w:space="0" w:color="auto"/>
        <w:right w:val="none" w:sz="0" w:space="0" w:color="auto"/>
      </w:divBdr>
    </w:div>
    <w:div w:id="1812669992">
      <w:bodyDiv w:val="1"/>
      <w:marLeft w:val="0"/>
      <w:marRight w:val="0"/>
      <w:marTop w:val="0"/>
      <w:marBottom w:val="0"/>
      <w:divBdr>
        <w:top w:val="none" w:sz="0" w:space="0" w:color="auto"/>
        <w:left w:val="none" w:sz="0" w:space="0" w:color="auto"/>
        <w:bottom w:val="none" w:sz="0" w:space="0" w:color="auto"/>
        <w:right w:val="none" w:sz="0" w:space="0" w:color="auto"/>
      </w:divBdr>
    </w:div>
    <w:div w:id="1862472236">
      <w:bodyDiv w:val="1"/>
      <w:marLeft w:val="0"/>
      <w:marRight w:val="0"/>
      <w:marTop w:val="0"/>
      <w:marBottom w:val="0"/>
      <w:divBdr>
        <w:top w:val="none" w:sz="0" w:space="0" w:color="auto"/>
        <w:left w:val="none" w:sz="0" w:space="0" w:color="auto"/>
        <w:bottom w:val="none" w:sz="0" w:space="0" w:color="auto"/>
        <w:right w:val="none" w:sz="0" w:space="0" w:color="auto"/>
      </w:divBdr>
    </w:div>
    <w:div w:id="2004358738">
      <w:bodyDiv w:val="1"/>
      <w:marLeft w:val="0"/>
      <w:marRight w:val="0"/>
      <w:marTop w:val="0"/>
      <w:marBottom w:val="0"/>
      <w:divBdr>
        <w:top w:val="none" w:sz="0" w:space="0" w:color="auto"/>
        <w:left w:val="none" w:sz="0" w:space="0" w:color="auto"/>
        <w:bottom w:val="none" w:sz="0" w:space="0" w:color="auto"/>
        <w:right w:val="none" w:sz="0" w:space="0" w:color="auto"/>
      </w:divBdr>
    </w:div>
    <w:div w:id="213984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itiont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ransitiontn.org/"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5D3A7-EF0A-44E2-A3E5-AE5281E0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1182</Words>
  <Characters>6741</Characters>
  <Application>Microsoft Office Word</Application>
  <DocSecurity>8</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 Haugner</dc:creator>
  <cp:lastModifiedBy>Alison Gauld</cp:lastModifiedBy>
  <cp:revision>4</cp:revision>
  <cp:lastPrinted>2018-01-10T17:25:00Z</cp:lastPrinted>
  <dcterms:created xsi:type="dcterms:W3CDTF">2018-07-03T20:46:00Z</dcterms:created>
  <dcterms:modified xsi:type="dcterms:W3CDTF">2018-07-16T20:12:00Z</dcterms:modified>
</cp:coreProperties>
</file>